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adjustRightInd/>
        <w:snapToGrid/>
        <w:spacing w:line="560" w:lineRule="exact"/>
        <w:ind w:left="0"/>
        <w:jc w:val="left"/>
        <w:rPr>
          <w:rFonts w:hint="eastAsia" w:ascii="黑体" w:hAnsi="黑体" w:eastAsia="黑体" w:cs="黑体"/>
          <w:sz w:val="32"/>
          <w:szCs w:val="32"/>
          <w:highlight w:val="none"/>
          <w:lang w:eastAsia="zh-CN"/>
        </w:rPr>
      </w:pPr>
      <w:bookmarkStart w:id="0" w:name="_GoBack"/>
      <w:bookmarkEnd w:id="0"/>
      <w:r>
        <w:rPr>
          <w:rFonts w:hint="eastAsia" w:ascii="黑体" w:hAnsi="黑体" w:eastAsia="黑体" w:cs="黑体"/>
          <w:sz w:val="32"/>
          <w:szCs w:val="32"/>
          <w:highlight w:val="none"/>
          <w:lang w:eastAsia="zh-CN"/>
        </w:rPr>
        <w:t>附件</w:t>
      </w:r>
    </w:p>
    <w:p>
      <w:pPr>
        <w:keepNext w:val="0"/>
        <w:keepLines w:val="0"/>
        <w:pageBreakBefore w:val="0"/>
        <w:widowControl/>
        <w:shd w:val="clear" w:color="auto" w:fill="FFFFFF"/>
        <w:kinsoku/>
        <w:wordWrap/>
        <w:overflowPunct/>
        <w:topLinePunct w:val="0"/>
        <w:autoSpaceDE/>
        <w:autoSpaceDN/>
        <w:adjustRightInd/>
        <w:snapToGrid/>
        <w:spacing w:line="560" w:lineRule="exact"/>
        <w:ind w:left="0"/>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highlight w:val="none"/>
          <w:lang w:eastAsia="zh-CN"/>
        </w:rPr>
        <w:t>关于《延庆区以拨投联动模式支持科技成果转化实施方案（试行）</w:t>
      </w:r>
      <w:r>
        <w:rPr>
          <w:rFonts w:ascii="方正小标宋简体" w:eastAsia="方正小标宋简体" w:cs="方正小标宋简体"/>
          <w:sz w:val="44"/>
          <w:szCs w:val="44"/>
          <w:lang w:eastAsia="zh-CN"/>
        </w:rPr>
        <w:t>（征求意见稿）</w:t>
      </w:r>
      <w:r>
        <w:rPr>
          <w:rFonts w:hint="eastAsia" w:ascii="方正小标宋简体" w:eastAsia="方正小标宋简体" w:cs="方正小标宋简体"/>
          <w:sz w:val="44"/>
          <w:szCs w:val="44"/>
          <w:highlight w:val="none"/>
          <w:lang w:eastAsia="zh-CN"/>
        </w:rPr>
        <w:t>》</w:t>
      </w:r>
      <w:r>
        <w:rPr>
          <w:rFonts w:hint="eastAsia" w:ascii="方正小标宋简体" w:eastAsia="方正小标宋简体" w:cs="宋体"/>
          <w:color w:val="000000"/>
          <w:kern w:val="0"/>
          <w:sz w:val="44"/>
          <w:szCs w:val="44"/>
        </w:rPr>
        <w:t>的</w:t>
      </w:r>
    </w:p>
    <w:p>
      <w:pPr>
        <w:keepNext w:val="0"/>
        <w:keepLines w:val="0"/>
        <w:pageBreakBefore w:val="0"/>
        <w:widowControl/>
        <w:shd w:val="clear" w:color="auto" w:fill="FFFFFF"/>
        <w:kinsoku/>
        <w:wordWrap/>
        <w:overflowPunct/>
        <w:topLinePunct w:val="0"/>
        <w:autoSpaceDE/>
        <w:autoSpaceDN/>
        <w:adjustRightInd/>
        <w:snapToGrid/>
        <w:spacing w:line="560" w:lineRule="exact"/>
        <w:ind w:left="0"/>
        <w:jc w:val="center"/>
        <w:rPr>
          <w:rFonts w:hint="eastAsia" w:ascii="方正小标宋简体" w:eastAsia="方正小标宋简体" w:cs="方正小标宋简体"/>
          <w:sz w:val="44"/>
          <w:szCs w:val="44"/>
        </w:rPr>
      </w:pPr>
      <w:r>
        <w:rPr>
          <w:rFonts w:hint="eastAsia" w:ascii="方正小标宋简体" w:eastAsia="方正小标宋简体" w:cs="宋体"/>
          <w:color w:val="000000"/>
          <w:kern w:val="0"/>
          <w:sz w:val="44"/>
          <w:szCs w:val="44"/>
          <w:lang w:eastAsia="zh-CN"/>
        </w:rPr>
        <w:t>起草说明</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黑体" w:eastAsia="黑体" w:cs="黑体"/>
          <w:b w:val="0"/>
          <w:bCs w:val="0"/>
          <w:sz w:val="32"/>
          <w:szCs w:val="32"/>
          <w:highlight w:val="none"/>
          <w:u w:val="none"/>
          <w:lang w:val="en-US" w:eastAsia="zh-CN"/>
        </w:rPr>
      </w:pPr>
      <w:r>
        <w:rPr>
          <w:rFonts w:hint="eastAsia" w:ascii="黑体" w:eastAsia="黑体" w:cs="黑体"/>
          <w:b w:val="0"/>
          <w:bCs w:val="0"/>
          <w:sz w:val="32"/>
          <w:szCs w:val="32"/>
          <w:highlight w:val="none"/>
          <w:u w:val="none"/>
          <w:lang w:val="en-US" w:eastAsia="zh-CN"/>
        </w:rPr>
        <w:t>编制背景</w:t>
      </w:r>
    </w:p>
    <w:p>
      <w:pPr>
        <w:keepNext w:val="0"/>
        <w:keepLines w:val="0"/>
        <w:pageBreakBefore w:val="0"/>
        <w:widowControl w:val="0"/>
        <w:kinsoku/>
        <w:wordWrap/>
        <w:overflowPunct/>
        <w:topLinePunct w:val="0"/>
        <w:autoSpaceDE/>
        <w:autoSpaceDN/>
        <w:adjustRightInd/>
        <w:spacing w:line="560" w:lineRule="exact"/>
        <w:ind w:firstLine="640" w:firstLineChars="200"/>
        <w:rPr>
          <w:rFonts w:hint="eastAsia" w:ascii="仿宋_GB2312" w:cs="仿宋_GB2312"/>
          <w:sz w:val="32"/>
          <w:szCs w:val="32"/>
          <w:u w:val="none"/>
          <w:shd w:val="clear" w:color="auto" w:fill="auto"/>
          <w:lang w:val="en-US" w:eastAsia="zh-CN"/>
        </w:rPr>
      </w:pPr>
      <w:r>
        <w:rPr>
          <w:rFonts w:hint="eastAsia" w:ascii="仿宋_GB2312" w:eastAsia="仿宋_GB2312" w:cs="仿宋_GB2312"/>
          <w:sz w:val="32"/>
          <w:szCs w:val="32"/>
          <w:u w:val="none"/>
          <w:shd w:val="clear" w:color="auto" w:fill="auto"/>
          <w:lang w:val="en-US" w:eastAsia="zh-CN"/>
        </w:rPr>
        <w:t>2026年是</w:t>
      </w:r>
      <w:r>
        <w:rPr>
          <w:rFonts w:hint="eastAsia" w:ascii="仿宋_GB2312" w:cs="仿宋_GB2312"/>
          <w:sz w:val="32"/>
          <w:szCs w:val="32"/>
          <w:u w:val="none"/>
          <w:shd w:val="clear" w:color="auto" w:fill="auto"/>
          <w:lang w:val="en-US" w:eastAsia="zh-CN"/>
        </w:rPr>
        <w:t>“十五五”规划</w:t>
      </w:r>
      <w:r>
        <w:rPr>
          <w:rFonts w:hint="eastAsia" w:ascii="仿宋_GB2312" w:eastAsia="仿宋_GB2312" w:cs="仿宋_GB2312"/>
          <w:sz w:val="32"/>
          <w:szCs w:val="32"/>
          <w:u w:val="none"/>
          <w:shd w:val="clear" w:color="auto" w:fill="auto"/>
          <w:lang w:val="en-US" w:eastAsia="zh-CN"/>
        </w:rPr>
        <w:t>开局之年，深入学习贯彻党的二十届四中全会精神，深刻把握“十五五”规划建议关于</w:t>
      </w:r>
      <w:r>
        <w:rPr>
          <w:rFonts w:hint="eastAsia" w:ascii="仿宋_GB2312" w:cs="仿宋_GB2312"/>
          <w:sz w:val="32"/>
          <w:szCs w:val="32"/>
          <w:u w:val="none"/>
          <w:shd w:val="clear" w:color="auto" w:fill="auto"/>
          <w:lang w:val="en-US" w:eastAsia="zh-CN"/>
        </w:rPr>
        <w:t>大力发展新质生产力</w:t>
      </w:r>
      <w:r>
        <w:rPr>
          <w:rFonts w:hint="eastAsia" w:ascii="仿宋_GB2312" w:eastAsia="仿宋_GB2312" w:cs="仿宋_GB2312"/>
          <w:sz w:val="32"/>
          <w:szCs w:val="32"/>
          <w:u w:val="none"/>
          <w:shd w:val="clear" w:color="auto" w:fill="auto"/>
          <w:lang w:val="en-US" w:eastAsia="zh-CN"/>
        </w:rPr>
        <w:t>的重大部署，</w:t>
      </w:r>
      <w:r>
        <w:rPr>
          <w:rFonts w:hint="eastAsia" w:ascii="仿宋_GB2312" w:cs="仿宋_GB2312"/>
          <w:sz w:val="32"/>
          <w:szCs w:val="32"/>
          <w:u w:val="none"/>
          <w:shd w:val="clear" w:color="auto" w:fill="auto"/>
          <w:lang w:val="en-US" w:eastAsia="zh-CN"/>
        </w:rPr>
        <w:t>对进一步推动</w:t>
      </w:r>
      <w:r>
        <w:rPr>
          <w:rFonts w:hint="eastAsia" w:ascii="仿宋_GB2312" w:eastAsia="仿宋_GB2312" w:cs="仿宋_GB2312"/>
          <w:sz w:val="32"/>
          <w:szCs w:val="32"/>
          <w:u w:val="none"/>
          <w:shd w:val="clear" w:color="auto" w:fill="auto"/>
          <w:lang w:val="en-US" w:eastAsia="zh-CN"/>
        </w:rPr>
        <w:t>科技创新和产业发展深度融合</w:t>
      </w:r>
      <w:r>
        <w:rPr>
          <w:rFonts w:hint="eastAsia" w:ascii="仿宋_GB2312" w:cs="仿宋_GB2312"/>
          <w:sz w:val="32"/>
          <w:szCs w:val="32"/>
          <w:u w:val="none"/>
          <w:shd w:val="clear" w:color="auto" w:fill="auto"/>
          <w:lang w:val="en-US" w:eastAsia="zh-CN"/>
        </w:rPr>
        <w:t>提出新要求。延庆区聚焦低空技术、绿色能源、科技体育、医药健康等科创产业，全力推动科技创新与产业发展深度融合，现有政策环境下，科技成果转化早期阶段仍面临突出瓶颈，为贯彻落实《北京市推进科技成果转化落地行动方案（2025-2027年）》要求，满足科技成果从“实验室”到“产业化”的全链条资金需求，破解科技成果转化早期阶段资金难题，特</w:t>
      </w:r>
      <w:r>
        <w:rPr>
          <w:rFonts w:ascii="仿宋_GB2312" w:cs="仿宋_GB2312"/>
          <w:sz w:val="32"/>
          <w:szCs w:val="32"/>
          <w:u w:val="none"/>
          <w:shd w:val="clear" w:color="auto" w:fill="auto"/>
          <w:lang w:val="en-US" w:eastAsia="zh-CN"/>
        </w:rPr>
        <w:t>编制《</w:t>
      </w:r>
      <w:r>
        <w:rPr>
          <w:rFonts w:hint="eastAsia" w:ascii="仿宋_GB2312" w:cs="仿宋_GB2312"/>
          <w:sz w:val="32"/>
          <w:szCs w:val="32"/>
          <w:u w:val="none"/>
          <w:shd w:val="clear" w:color="auto" w:fill="auto"/>
          <w:lang w:val="en-US" w:eastAsia="zh-CN"/>
        </w:rPr>
        <w:t>延庆区以拨投联动模式支持</w:t>
      </w:r>
      <w:r>
        <w:rPr>
          <w:rFonts w:ascii="仿宋_GB2312" w:cs="仿宋_GB2312"/>
          <w:sz w:val="32"/>
          <w:szCs w:val="32"/>
          <w:u w:val="none"/>
          <w:shd w:val="clear" w:color="auto" w:fill="auto"/>
          <w:lang w:val="en-US" w:eastAsia="zh-CN"/>
        </w:rPr>
        <w:t>科技成果转化实施方案（试行）</w:t>
      </w:r>
      <w:r>
        <w:rPr>
          <w:rFonts w:hint="eastAsia" w:ascii="仿宋_GB2312" w:cs="sans-serif"/>
          <w:b w:val="0"/>
          <w:bCs w:val="0"/>
          <w:i w:val="0"/>
          <w:iCs w:val="0"/>
          <w:spacing w:val="0"/>
          <w:kern w:val="2"/>
          <w:sz w:val="32"/>
          <w:szCs w:val="32"/>
          <w:lang w:val="en-US" w:eastAsia="zh-CN" w:bidi="ar-SA"/>
        </w:rPr>
        <w:t>（征求意见稿）</w:t>
      </w:r>
      <w:r>
        <w:rPr>
          <w:rFonts w:ascii="仿宋_GB2312" w:cs="仿宋_GB2312"/>
          <w:sz w:val="32"/>
          <w:szCs w:val="32"/>
          <w:u w:val="none"/>
          <w:shd w:val="clear" w:color="auto" w:fill="auto"/>
          <w:lang w:val="en-US" w:eastAsia="zh-CN"/>
        </w:rPr>
        <w:t>》</w:t>
      </w:r>
      <w:r>
        <w:rPr>
          <w:rFonts w:hint="eastAsia" w:ascii="仿宋_GB2312" w:cs="仿宋_GB2312"/>
          <w:sz w:val="32"/>
          <w:szCs w:val="32"/>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eastAsia="黑体" w:cs="黑体"/>
          <w:b w:val="0"/>
          <w:bCs w:val="0"/>
          <w:sz w:val="32"/>
          <w:szCs w:val="32"/>
          <w:highlight w:val="none"/>
          <w:u w:val="none"/>
          <w:lang w:val="en-US" w:eastAsia="zh-CN"/>
        </w:rPr>
      </w:pPr>
      <w:r>
        <w:rPr>
          <w:rFonts w:hint="eastAsia" w:ascii="黑体" w:eastAsia="黑体" w:cs="黑体"/>
          <w:b w:val="0"/>
          <w:bCs w:val="0"/>
          <w:sz w:val="32"/>
          <w:szCs w:val="32"/>
          <w:highlight w:val="none"/>
          <w:u w:val="none"/>
          <w:lang w:val="en-US" w:eastAsia="zh-CN"/>
        </w:rPr>
        <w:t>二、制定依据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仿宋_GB2312"/>
          <w:color w:val="auto"/>
          <w:sz w:val="32"/>
          <w:szCs w:val="32"/>
          <w:highlight w:val="none"/>
          <w:lang w:val="en-US" w:eastAsia="zh-CN"/>
        </w:rPr>
      </w:pPr>
      <w:r>
        <w:rPr>
          <w:rFonts w:hint="eastAsia" w:ascii="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lang w:val="en-US" w:eastAsia="zh-CN"/>
        </w:rPr>
        <w:t>《北京市推进科技成果转化落地行动方案（2025-2027年）》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仿宋_GB2312"/>
          <w:color w:val="auto"/>
          <w:sz w:val="32"/>
          <w:szCs w:val="32"/>
          <w:highlight w:val="none"/>
          <w:lang w:val="en-US" w:eastAsia="zh-CN"/>
        </w:rPr>
      </w:pPr>
      <w:r>
        <w:rPr>
          <w:rFonts w:hint="eastAsia" w:ascii="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lang w:val="en-US" w:eastAsia="zh-CN"/>
        </w:rPr>
        <w:t>山东省省级“拨投结合”科技项目管理实施细则</w:t>
      </w:r>
      <w:r>
        <w:rPr>
          <w:rFonts w:hint="eastAsia" w:ascii="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cs="仿宋_GB2312"/>
          <w:color w:val="auto"/>
          <w:sz w:val="32"/>
          <w:szCs w:val="32"/>
          <w:highlight w:val="none"/>
          <w:lang w:val="en-US" w:eastAsia="zh-CN"/>
        </w:rPr>
      </w:pPr>
      <w:r>
        <w:rPr>
          <w:rFonts w:hint="eastAsia" w:ascii="仿宋_GB2312" w:cs="仿宋_GB2312"/>
          <w:color w:val="auto"/>
          <w:sz w:val="32"/>
          <w:szCs w:val="32"/>
          <w:highlight w:val="none"/>
          <w:lang w:val="en-US" w:eastAsia="zh-CN"/>
        </w:rPr>
        <w:t>3.《江苏省产业技术研究院“拨投结合”重点项目落户宿迁实施细则（试行）》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cs="仿宋_GB2312"/>
          <w:color w:val="auto"/>
          <w:sz w:val="32"/>
          <w:szCs w:val="32"/>
          <w:highlight w:val="none"/>
          <w:lang w:val="en-US" w:eastAsia="zh-CN"/>
        </w:rPr>
      </w:pPr>
      <w:r>
        <w:rPr>
          <w:rFonts w:hint="eastAsia" w:ascii="仿宋_GB2312" w:cs="仿宋_GB2312"/>
          <w:color w:val="auto"/>
          <w:sz w:val="32"/>
          <w:szCs w:val="32"/>
          <w:highlight w:val="none"/>
          <w:lang w:val="en-US" w:eastAsia="zh-CN"/>
        </w:rPr>
        <w:t>4.《北京市房山区科技成果转化项目“拨投结合”管理办法（试行）》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cs="仿宋_GB2312"/>
          <w:color w:val="auto"/>
          <w:sz w:val="32"/>
          <w:szCs w:val="32"/>
          <w:highlight w:val="none"/>
          <w:lang w:val="en-US" w:eastAsia="zh-CN"/>
        </w:rPr>
      </w:pPr>
      <w:r>
        <w:rPr>
          <w:rFonts w:hint="eastAsia" w:ascii="仿宋_GB2312" w:cs="仿宋_GB2312"/>
          <w:color w:val="auto"/>
          <w:sz w:val="32"/>
          <w:szCs w:val="32"/>
          <w:highlight w:val="none"/>
          <w:lang w:val="en-US" w:eastAsia="zh-CN"/>
        </w:rPr>
        <w:t>5.《北京市密云区科技成果转化“拨投联动”实施方案》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eastAsia="黑体" w:cs="黑体"/>
          <w:b w:val="0"/>
          <w:bCs w:val="0"/>
          <w:sz w:val="32"/>
          <w:szCs w:val="32"/>
          <w:highlight w:val="none"/>
          <w:u w:val="none"/>
          <w:lang w:val="en-US" w:eastAsia="zh-CN"/>
        </w:rPr>
      </w:pPr>
      <w:r>
        <w:rPr>
          <w:rFonts w:hint="eastAsia" w:ascii="黑体" w:eastAsia="黑体" w:cs="黑体"/>
          <w:b w:val="0"/>
          <w:bCs w:val="0"/>
          <w:sz w:val="32"/>
          <w:szCs w:val="32"/>
          <w:highlight w:val="none"/>
          <w:u w:val="none"/>
          <w:lang w:val="en-US" w:eastAsia="zh-CN"/>
        </w:rPr>
        <w:t>三、编制过程</w:t>
      </w:r>
    </w:p>
    <w:p>
      <w:pPr>
        <w:pStyle w:val="9"/>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cs="sans-serif"/>
          <w:b w:val="0"/>
          <w:bCs w:val="0"/>
          <w:i w:val="0"/>
          <w:iCs w:val="0"/>
          <w:spacing w:val="0"/>
          <w:kern w:val="2"/>
          <w:sz w:val="32"/>
          <w:szCs w:val="32"/>
          <w:lang w:val="en-US" w:eastAsia="zh-CN" w:bidi="ar-SA"/>
        </w:rPr>
      </w:pPr>
      <w:r>
        <w:rPr>
          <w:rFonts w:hint="eastAsia" w:ascii="仿宋_GB2312" w:cs="sans-serif"/>
          <w:b w:val="0"/>
          <w:bCs w:val="0"/>
          <w:i w:val="0"/>
          <w:iCs w:val="0"/>
          <w:spacing w:val="0"/>
          <w:kern w:val="2"/>
          <w:sz w:val="32"/>
          <w:szCs w:val="32"/>
          <w:lang w:val="en-US" w:eastAsia="zh-CN" w:bidi="ar-SA"/>
        </w:rPr>
        <w:t>按照《北京市推进科技成果转化落地行动方案（2025-2027年）》要求，落实区政府主要领导关于“研究拨投结合支持机制”的批示精神，区科信局借鉴山东、江苏等省市及本市海淀、昌平、房山、密云等区“拨投联动”“拨改投”“拨投结合”经验，结合全区及中关村延庆园产业发展实际，研究制定《延庆区以拨投联动模式支持科技成果转化实施方案（试行）（</w:t>
      </w:r>
      <w:r>
        <w:rPr>
          <w:rFonts w:ascii="仿宋_GB2312" w:cs="sans-serif"/>
          <w:b w:val="0"/>
          <w:bCs w:val="0"/>
          <w:i w:val="0"/>
          <w:iCs w:val="0"/>
          <w:spacing w:val="0"/>
          <w:kern w:val="2"/>
          <w:sz w:val="32"/>
          <w:szCs w:val="32"/>
          <w:lang w:val="en-US" w:eastAsia="zh-CN" w:bidi="ar-SA"/>
        </w:rPr>
        <w:t>初</w:t>
      </w:r>
      <w:r>
        <w:rPr>
          <w:rFonts w:hint="eastAsia" w:ascii="仿宋_GB2312" w:cs="sans-serif"/>
          <w:b w:val="0"/>
          <w:bCs w:val="0"/>
          <w:i w:val="0"/>
          <w:iCs w:val="0"/>
          <w:spacing w:val="0"/>
          <w:kern w:val="2"/>
          <w:sz w:val="32"/>
          <w:szCs w:val="32"/>
          <w:lang w:val="en-US" w:eastAsia="zh-CN" w:bidi="ar-SA"/>
        </w:rPr>
        <w:t>稿）》。2026年2月27日，征求</w:t>
      </w:r>
      <w:r>
        <w:rPr>
          <w:rFonts w:ascii="仿宋_GB2312" w:cs="sans-serif"/>
          <w:b w:val="0"/>
          <w:bCs w:val="0"/>
          <w:i w:val="0"/>
          <w:iCs w:val="0"/>
          <w:spacing w:val="0"/>
          <w:kern w:val="2"/>
          <w:sz w:val="32"/>
          <w:szCs w:val="32"/>
          <w:lang w:val="en-US" w:eastAsia="zh-CN" w:bidi="ar-SA"/>
        </w:rPr>
        <w:t>相关部门</w:t>
      </w:r>
      <w:r>
        <w:rPr>
          <w:rFonts w:hint="eastAsia" w:ascii="仿宋_GB2312" w:cs="sans-serif"/>
          <w:b w:val="0"/>
          <w:bCs w:val="0"/>
          <w:i w:val="0"/>
          <w:iCs w:val="0"/>
          <w:spacing w:val="0"/>
          <w:kern w:val="2"/>
          <w:sz w:val="32"/>
          <w:szCs w:val="32"/>
          <w:lang w:val="en-US" w:eastAsia="zh-CN" w:bidi="ar-SA"/>
        </w:rPr>
        <w:t>意见，补充完善形成《延庆区以拨投联动模式支持科技成果转化实施方案（试行）（征求意见稿）》。</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eastAsia="黑体" w:cs="黑体"/>
          <w:b w:val="0"/>
          <w:bCs w:val="0"/>
          <w:sz w:val="32"/>
          <w:szCs w:val="32"/>
          <w:highlight w:val="none"/>
          <w:u w:val="none"/>
          <w:lang w:val="en-US" w:eastAsia="zh-CN"/>
        </w:rPr>
      </w:pPr>
      <w:r>
        <w:rPr>
          <w:rFonts w:hint="eastAsia" w:ascii="黑体" w:eastAsia="黑体" w:cs="黑体"/>
          <w:b w:val="0"/>
          <w:bCs w:val="0"/>
          <w:sz w:val="32"/>
          <w:szCs w:val="32"/>
          <w:highlight w:val="none"/>
          <w:u w:val="none"/>
          <w:lang w:val="en-US" w:eastAsia="zh-CN"/>
        </w:rPr>
        <w:t>四、主要内容</w:t>
      </w:r>
    </w:p>
    <w:p>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eastAsia="楷体_GB2312" w:cs="楷体_GB2312"/>
          <w:b w:val="0"/>
          <w:bCs w:val="0"/>
          <w:i w:val="0"/>
          <w:iCs w:val="0"/>
          <w:spacing w:val="0"/>
          <w:kern w:val="2"/>
          <w:sz w:val="32"/>
          <w:szCs w:val="32"/>
          <w:lang w:val="en-US" w:eastAsia="zh-CN" w:bidi="ar-SA"/>
        </w:rPr>
      </w:pPr>
      <w:r>
        <w:rPr>
          <w:rFonts w:hint="eastAsia" w:ascii="楷体_GB2312" w:eastAsia="楷体_GB2312" w:cs="楷体_GB2312"/>
          <w:b w:val="0"/>
          <w:bCs w:val="0"/>
          <w:i w:val="0"/>
          <w:iCs w:val="0"/>
          <w:spacing w:val="0"/>
          <w:kern w:val="2"/>
          <w:sz w:val="32"/>
          <w:szCs w:val="32"/>
          <w:lang w:val="en-US" w:eastAsia="zh-CN" w:bidi="ar-SA"/>
        </w:rPr>
        <w:t>（一）总体框架</w:t>
      </w:r>
    </w:p>
    <w:p>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sans-serif"/>
          <w:b w:val="0"/>
          <w:bCs w:val="0"/>
          <w:i w:val="0"/>
          <w:iCs w:val="0"/>
          <w:spacing w:val="0"/>
          <w:kern w:val="2"/>
          <w:sz w:val="32"/>
          <w:szCs w:val="32"/>
          <w:lang w:val="en-US" w:eastAsia="zh-CN" w:bidi="ar-SA"/>
        </w:rPr>
      </w:pPr>
      <w:r>
        <w:rPr>
          <w:rFonts w:hint="eastAsia" w:ascii="仿宋_GB2312" w:eastAsia="仿宋_GB2312" w:cs="sans-serif"/>
          <w:b w:val="0"/>
          <w:bCs w:val="0"/>
          <w:i w:val="0"/>
          <w:iCs w:val="0"/>
          <w:spacing w:val="0"/>
          <w:kern w:val="2"/>
          <w:sz w:val="32"/>
          <w:szCs w:val="32"/>
          <w:lang w:val="en-US" w:eastAsia="zh-CN" w:bidi="ar-SA"/>
        </w:rPr>
        <w:t>以“问题导向、产业定位、改革创新、循环高效”为原则，将财政专项资金通过“拨款+投资”相结合的方式，支持通过高校院所及医疗卫生机构等研发单位在延庆区开展低空技术、绿色能源、科技体育、医药健康等科创产业领域的科技成果转化并新设科技型企业，推动科技成果落地产业化。</w:t>
      </w:r>
    </w:p>
    <w:p>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eastAsia="楷体_GB2312" w:cs="楷体_GB2312"/>
          <w:b w:val="0"/>
          <w:bCs w:val="0"/>
          <w:i w:val="0"/>
          <w:iCs w:val="0"/>
          <w:spacing w:val="0"/>
          <w:kern w:val="2"/>
          <w:sz w:val="32"/>
          <w:szCs w:val="32"/>
          <w:lang w:val="en-US" w:eastAsia="zh-CN" w:bidi="ar-SA"/>
        </w:rPr>
      </w:pPr>
      <w:r>
        <w:rPr>
          <w:rFonts w:hint="eastAsia" w:ascii="楷体_GB2312" w:eastAsia="楷体_GB2312" w:cs="楷体_GB2312"/>
          <w:b w:val="0"/>
          <w:bCs w:val="0"/>
          <w:i w:val="0"/>
          <w:iCs w:val="0"/>
          <w:spacing w:val="0"/>
          <w:kern w:val="2"/>
          <w:sz w:val="32"/>
          <w:szCs w:val="32"/>
          <w:lang w:val="en-US" w:eastAsia="zh-CN" w:bidi="ar-SA"/>
        </w:rPr>
        <w:t>（二）核心定义</w:t>
      </w:r>
    </w:p>
    <w:p>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sans-serif"/>
          <w:b w:val="0"/>
          <w:bCs w:val="0"/>
          <w:i w:val="0"/>
          <w:iCs w:val="0"/>
          <w:spacing w:val="0"/>
          <w:kern w:val="2"/>
          <w:sz w:val="32"/>
          <w:szCs w:val="32"/>
          <w:lang w:val="en-US" w:eastAsia="zh-CN" w:bidi="ar-SA"/>
        </w:rPr>
      </w:pPr>
      <w:r>
        <w:rPr>
          <w:rFonts w:hint="eastAsia" w:ascii="仿宋_GB2312" w:eastAsia="仿宋_GB2312" w:cs="sans-serif"/>
          <w:b w:val="0"/>
          <w:bCs w:val="0"/>
          <w:i w:val="0"/>
          <w:iCs w:val="0"/>
          <w:spacing w:val="0"/>
          <w:kern w:val="2"/>
          <w:sz w:val="32"/>
          <w:szCs w:val="32"/>
          <w:lang w:val="en-US" w:eastAsia="zh-CN" w:bidi="ar-SA"/>
        </w:rPr>
        <w:t>“拨投联动”，指先期通过科技项目立项以财政补助方式拨付资金，约定验收通过或条件触发后转换为股权，由国有企业代持，后期按“适当收益”原则逐步退出，形成财政资金循环长效机制，先期拨付的财政补助资金为无息支持，转股前不计利息。</w:t>
      </w:r>
    </w:p>
    <w:p>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eastAsia="楷体_GB2312" w:cs="楷体_GB2312"/>
          <w:b w:val="0"/>
          <w:bCs w:val="0"/>
          <w:i w:val="0"/>
          <w:iCs w:val="0"/>
          <w:spacing w:val="0"/>
          <w:kern w:val="2"/>
          <w:sz w:val="32"/>
          <w:szCs w:val="32"/>
          <w:lang w:val="en-US" w:eastAsia="zh-CN" w:bidi="ar-SA"/>
        </w:rPr>
      </w:pPr>
      <w:r>
        <w:rPr>
          <w:rFonts w:hint="eastAsia" w:ascii="楷体_GB2312" w:eastAsia="楷体_GB2312" w:cs="楷体_GB2312"/>
          <w:b w:val="0"/>
          <w:bCs w:val="0"/>
          <w:i w:val="0"/>
          <w:iCs w:val="0"/>
          <w:spacing w:val="0"/>
          <w:kern w:val="2"/>
          <w:sz w:val="32"/>
          <w:szCs w:val="32"/>
          <w:lang w:val="en-US" w:eastAsia="zh-CN" w:bidi="ar-SA"/>
        </w:rPr>
        <w:t>（三）支持标准</w:t>
      </w:r>
    </w:p>
    <w:p>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sans-serif"/>
          <w:b w:val="0"/>
          <w:bCs w:val="0"/>
          <w:i w:val="0"/>
          <w:iCs w:val="0"/>
          <w:spacing w:val="0"/>
          <w:kern w:val="2"/>
          <w:sz w:val="32"/>
          <w:szCs w:val="32"/>
          <w:lang w:val="en-US" w:eastAsia="zh-CN" w:bidi="ar-SA"/>
        </w:rPr>
      </w:pPr>
      <w:r>
        <w:rPr>
          <w:rFonts w:hint="eastAsia" w:ascii="仿宋_GB2312" w:eastAsia="仿宋_GB2312" w:cs="sans-serif"/>
          <w:b w:val="0"/>
          <w:bCs w:val="0"/>
          <w:i w:val="0"/>
          <w:iCs w:val="0"/>
          <w:spacing w:val="0"/>
          <w:kern w:val="2"/>
          <w:sz w:val="32"/>
          <w:szCs w:val="32"/>
          <w:lang w:val="en-US" w:eastAsia="zh-CN" w:bidi="ar-SA"/>
        </w:rPr>
        <w:t>统筹区财政资金专项用于“拨投联动”项目支持，单个项目按不超过项目预算50%比例给予最高500万元支持，项目承担企业成立时间不超过2年。资金分阶段拨付，首次拨付项目支持总额的50%，转股后财政资金不做第一大股东，不干预企业日常经营。</w:t>
      </w:r>
    </w:p>
    <w:p>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eastAsia="楷体_GB2312" w:cs="楷体_GB2312"/>
          <w:b w:val="0"/>
          <w:bCs w:val="0"/>
          <w:i w:val="0"/>
          <w:iCs w:val="0"/>
          <w:spacing w:val="0"/>
          <w:kern w:val="2"/>
          <w:sz w:val="32"/>
          <w:szCs w:val="32"/>
          <w:lang w:val="en-US" w:eastAsia="zh-CN" w:bidi="ar-SA"/>
        </w:rPr>
      </w:pPr>
      <w:r>
        <w:rPr>
          <w:rFonts w:hint="eastAsia" w:ascii="楷体_GB2312" w:eastAsia="楷体_GB2312" w:cs="楷体_GB2312"/>
          <w:b w:val="0"/>
          <w:bCs w:val="0"/>
          <w:i w:val="0"/>
          <w:iCs w:val="0"/>
          <w:spacing w:val="0"/>
          <w:kern w:val="2"/>
          <w:sz w:val="32"/>
          <w:szCs w:val="32"/>
          <w:lang w:val="en-US" w:eastAsia="zh-CN" w:bidi="ar-SA"/>
        </w:rPr>
        <w:t>（四）运行机制</w:t>
      </w:r>
    </w:p>
    <w:p>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sans-serif"/>
          <w:b w:val="0"/>
          <w:bCs w:val="0"/>
          <w:i w:val="0"/>
          <w:iCs w:val="0"/>
          <w:spacing w:val="0"/>
          <w:kern w:val="2"/>
          <w:sz w:val="32"/>
          <w:szCs w:val="32"/>
          <w:lang w:val="en-US" w:eastAsia="zh-CN" w:bidi="ar-SA"/>
        </w:rPr>
      </w:pPr>
      <w:r>
        <w:rPr>
          <w:rFonts w:hint="eastAsia" w:ascii="仿宋_GB2312" w:eastAsia="仿宋_GB2312" w:cs="sans-serif"/>
          <w:b w:val="0"/>
          <w:bCs w:val="0"/>
          <w:i w:val="0"/>
          <w:iCs w:val="0"/>
          <w:spacing w:val="0"/>
          <w:kern w:val="2"/>
          <w:sz w:val="32"/>
          <w:szCs w:val="32"/>
          <w:lang w:val="en-US" w:eastAsia="zh-CN" w:bidi="ar-SA"/>
        </w:rPr>
        <w:t>1.项目遴选。区科信局（延庆园管委会）发布申报通知并受理审查，股权代持国有企业组织专家结合第三方专业机构尽职调查开展评审，委托机构完成市值评估后，经审议公示无异议即正式立项。</w:t>
      </w:r>
    </w:p>
    <w:p>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sans-serif"/>
          <w:b w:val="0"/>
          <w:bCs w:val="0"/>
          <w:i w:val="0"/>
          <w:iCs w:val="0"/>
          <w:spacing w:val="0"/>
          <w:kern w:val="2"/>
          <w:sz w:val="32"/>
          <w:szCs w:val="32"/>
          <w:lang w:val="en-US" w:eastAsia="zh-CN" w:bidi="ar-SA"/>
        </w:rPr>
      </w:pPr>
      <w:r>
        <w:rPr>
          <w:rFonts w:hint="eastAsia" w:ascii="仿宋_GB2312" w:eastAsia="仿宋_GB2312" w:cs="sans-serif"/>
          <w:b w:val="0"/>
          <w:bCs w:val="0"/>
          <w:i w:val="0"/>
          <w:iCs w:val="0"/>
          <w:spacing w:val="0"/>
          <w:kern w:val="2"/>
          <w:sz w:val="32"/>
          <w:szCs w:val="32"/>
          <w:lang w:val="en-US" w:eastAsia="zh-CN" w:bidi="ar-SA"/>
        </w:rPr>
        <w:t>2.资金拨付与协议签订。区科信局（延庆园管委会）、股权代持国有企业、项目承担单位三方签订《项目任务书》和《拨投联动股权协议》，明确权利义务、考核指标等核心内容，区科信局（延庆园管委会）按约定进度向企业拨付财政资金。</w:t>
      </w:r>
    </w:p>
    <w:p>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sans-serif"/>
          <w:b w:val="0"/>
          <w:bCs w:val="0"/>
          <w:i w:val="0"/>
          <w:iCs w:val="0"/>
          <w:spacing w:val="0"/>
          <w:kern w:val="2"/>
          <w:sz w:val="32"/>
          <w:szCs w:val="32"/>
          <w:lang w:val="en-US" w:eastAsia="zh-CN" w:bidi="ar-SA"/>
        </w:rPr>
      </w:pPr>
      <w:r>
        <w:rPr>
          <w:rFonts w:hint="eastAsia" w:ascii="仿宋_GB2312" w:eastAsia="仿宋_GB2312" w:cs="sans-serif"/>
          <w:b w:val="0"/>
          <w:bCs w:val="0"/>
          <w:i w:val="0"/>
          <w:iCs w:val="0"/>
          <w:spacing w:val="0"/>
          <w:kern w:val="2"/>
          <w:sz w:val="32"/>
          <w:szCs w:val="32"/>
          <w:lang w:val="en-US" w:eastAsia="zh-CN" w:bidi="ar-SA"/>
        </w:rPr>
        <w:t>3.股权转化。项目达到转股条件后，股权代持国有企业将财政补助资金转为对应股权并履行股东权利。转股价格优先按同期市场化融资估值的公允价格执行，无市场化融资的按第三方市值评估结果确定。</w:t>
      </w:r>
    </w:p>
    <w:p>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sans-serif"/>
          <w:b w:val="0"/>
          <w:bCs w:val="0"/>
          <w:i w:val="0"/>
          <w:iCs w:val="0"/>
          <w:spacing w:val="0"/>
          <w:kern w:val="2"/>
          <w:sz w:val="32"/>
          <w:szCs w:val="32"/>
          <w:lang w:val="en-US" w:eastAsia="zh-CN" w:bidi="ar-SA"/>
        </w:rPr>
      </w:pPr>
      <w:r>
        <w:rPr>
          <w:rFonts w:hint="eastAsia" w:ascii="仿宋_GB2312" w:eastAsia="仿宋_GB2312" w:cs="sans-serif"/>
          <w:b w:val="0"/>
          <w:bCs w:val="0"/>
          <w:i w:val="0"/>
          <w:iCs w:val="0"/>
          <w:spacing w:val="0"/>
          <w:kern w:val="2"/>
          <w:sz w:val="32"/>
          <w:szCs w:val="32"/>
          <w:lang w:val="en-US" w:eastAsia="zh-CN" w:bidi="ar-SA"/>
        </w:rPr>
        <w:t>4.投后管理。股权代持国有企业常态化跟踪项目情况，每季度形成报告并提供资源对接服务，区科信局（延庆园管委会）开展年度考核，被投企业需报备重大事项。</w:t>
      </w:r>
    </w:p>
    <w:p>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sans-serif"/>
          <w:b w:val="0"/>
          <w:bCs w:val="0"/>
          <w:i w:val="0"/>
          <w:iCs w:val="0"/>
          <w:spacing w:val="0"/>
          <w:kern w:val="2"/>
          <w:sz w:val="32"/>
          <w:szCs w:val="32"/>
          <w:lang w:val="en-US" w:eastAsia="zh-CN" w:bidi="ar-SA"/>
        </w:rPr>
      </w:pPr>
      <w:r>
        <w:rPr>
          <w:rFonts w:hint="eastAsia" w:ascii="仿宋_GB2312" w:eastAsia="仿宋_GB2312" w:cs="sans-serif"/>
          <w:b w:val="0"/>
          <w:bCs w:val="0"/>
          <w:i w:val="0"/>
          <w:iCs w:val="0"/>
          <w:spacing w:val="0"/>
          <w:kern w:val="2"/>
          <w:sz w:val="32"/>
          <w:szCs w:val="32"/>
          <w:lang w:val="en-US" w:eastAsia="zh-CN" w:bidi="ar-SA"/>
        </w:rPr>
        <w:t>5.股权退出。项目满足退出条件后，优先通过企业回购退出，也可采用股权转让等市场化方式，持股期限一般不超过5年，股权退出后项目本金滚动返回至“拨投联动”专项资金，部分收益作为管理绩效，经区科信局（延庆园管委会）会同区财政局评估后给予股权代持国有企业奖励，剩余收益</w:t>
      </w:r>
      <w:r>
        <w:rPr>
          <w:rFonts w:ascii="仿宋_GB2312" w:eastAsia="仿宋_GB2312" w:cs="sans-serif"/>
          <w:b w:val="0"/>
          <w:bCs w:val="0"/>
          <w:i w:val="0"/>
          <w:iCs w:val="0"/>
          <w:spacing w:val="0"/>
          <w:kern w:val="2"/>
          <w:sz w:val="32"/>
          <w:szCs w:val="32"/>
          <w:lang w:val="en-US" w:eastAsia="zh-CN" w:bidi="ar-SA"/>
        </w:rPr>
        <w:t>由股权代持国有企业</w:t>
      </w:r>
      <w:r>
        <w:rPr>
          <w:rFonts w:hint="eastAsia" w:ascii="仿宋_GB2312" w:eastAsia="仿宋_GB2312" w:cs="sans-serif"/>
          <w:b w:val="0"/>
          <w:bCs w:val="0"/>
          <w:i w:val="0"/>
          <w:iCs w:val="0"/>
          <w:spacing w:val="0"/>
          <w:kern w:val="2"/>
          <w:sz w:val="32"/>
          <w:szCs w:val="32"/>
          <w:lang w:val="en-US" w:eastAsia="zh-CN" w:bidi="ar-SA"/>
        </w:rPr>
        <w:t>返回至区财政资金，形成资金循环。如出现股权退出后项目本金亏损情况，则直接将剩余项目本金返回至区财政资金。</w:t>
      </w:r>
    </w:p>
    <w:p>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sans-serif"/>
          <w:b w:val="0"/>
          <w:bCs w:val="0"/>
          <w:i w:val="0"/>
          <w:iCs w:val="0"/>
          <w:spacing w:val="0"/>
          <w:kern w:val="2"/>
          <w:sz w:val="32"/>
          <w:szCs w:val="32"/>
          <w:lang w:val="en-US" w:eastAsia="zh-CN" w:bidi="ar-SA"/>
        </w:rPr>
      </w:pPr>
      <w:r>
        <w:rPr>
          <w:rFonts w:hint="eastAsia" w:ascii="仿宋_GB2312" w:eastAsia="仿宋_GB2312" w:cs="sans-serif"/>
          <w:b w:val="0"/>
          <w:bCs w:val="0"/>
          <w:i w:val="0"/>
          <w:iCs w:val="0"/>
          <w:spacing w:val="0"/>
          <w:kern w:val="2"/>
          <w:sz w:val="32"/>
          <w:szCs w:val="32"/>
          <w:lang w:val="en-US" w:eastAsia="zh-CN" w:bidi="ar-SA"/>
        </w:rPr>
        <w:t>6.保障措施。建立协同机制、要素保障、风险防控、容错免责“四位一体”保障体系，整合创新资源构建多元化科技金融服务体系，引导区级基金加强对“拨投联动”科技成果转化项目社会投资，建立风险预警体系严格资金监管，明确容错免责适用情形，打消工作顾虑，鼓励改革创新。</w:t>
      </w:r>
    </w:p>
    <w:sectPr>
      <w:pgSz w:w="11906" w:h="16838"/>
      <w:pgMar w:top="1587" w:right="1587" w:bottom="1587" w:left="1587"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96F88"/>
    <w:multiLevelType w:val="singleLevel"/>
    <w:tmpl w:val="8A096F88"/>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09F424D"/>
    <w:rsid w:val="7BDD2B34"/>
    <w:rsid w:val="DFE9D29F"/>
    <w:rsid w:val="FBFEB789"/>
    <w:rsid w:val="FDFAB1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40" w:line="276" w:lineRule="auto"/>
      <w:ind w:firstLine="0"/>
      <w:jc w:val="both"/>
    </w:pPr>
    <w:rPr>
      <w:rFonts w:ascii="Calibri" w:hAnsi="Calibri" w:eastAsia="宋体" w:cs="Times New Roman"/>
      <w:sz w:val="21"/>
    </w:rPr>
  </w:style>
  <w:style w:type="paragraph" w:styleId="6">
    <w:name w:val="toc 3"/>
    <w:basedOn w:val="1"/>
    <w:next w:val="1"/>
    <w:qFormat/>
    <w:uiPriority w:val="0"/>
    <w:pPr>
      <w:widowControl w:val="0"/>
      <w:spacing w:line="560" w:lineRule="exact"/>
      <w:jc w:val="both"/>
    </w:pPr>
    <w:rPr>
      <w:rFonts w:ascii="方正小标宋简体" w:eastAsia="方正小标宋简体" w:cs="Times New Roman"/>
      <w:kern w:val="2"/>
      <w:sz w:val="44"/>
      <w:szCs w:val="44"/>
      <w:lang w:val="en-US" w:eastAsia="zh-CN" w:bidi="ar-SA"/>
    </w:rPr>
  </w:style>
  <w:style w:type="paragraph" w:styleId="7">
    <w:name w:val="Plain Text"/>
    <w:basedOn w:val="1"/>
    <w:next w:val="1"/>
    <w:qFormat/>
    <w:uiPriority w:val="0"/>
    <w:rPr>
      <w:rFonts w:ascii="宋体" w:hAnsi="宋体"/>
    </w:rPr>
  </w:style>
  <w:style w:type="paragraph" w:styleId="8">
    <w:name w:val="index 9"/>
    <w:basedOn w:val="1"/>
    <w:next w:val="1"/>
    <w:qFormat/>
    <w:uiPriority w:val="0"/>
    <w:pPr>
      <w:spacing w:before="100" w:beforeAutospacing="1" w:after="100" w:afterAutospacing="1" w:line="560" w:lineRule="exact"/>
      <w:ind w:left="1600" w:leftChars="1600" w:firstLine="200" w:firstLineChars="200"/>
      <w:jc w:val="left"/>
    </w:pPr>
    <w:rPr>
      <w:rFonts w:ascii="仿宋_GB2312" w:eastAsia="仿宋_GB2312"/>
      <w:sz w:val="32"/>
      <w:szCs w:val="32"/>
    </w:rPr>
  </w:style>
  <w:style w:type="paragraph" w:styleId="9">
    <w:name w:val="Normal (Web)"/>
    <w:basedOn w:val="1"/>
    <w:qFormat/>
    <w:uiPriority w:val="0"/>
    <w:pPr>
      <w:spacing w:before="100" w:beforeAutospacing="1" w:after="100" w:afterAutospacing="1"/>
      <w:ind w:left="0" w:right="0"/>
      <w:jc w:val="left"/>
    </w:pPr>
    <w:rPr>
      <w:kern w:val="0"/>
      <w:sz w:val="24"/>
      <w:lang w:val="en-US" w:eastAsia="zh-CN"/>
    </w:rPr>
  </w:style>
  <w:style w:type="paragraph" w:customStyle="1" w:styleId="12">
    <w:name w:val="公文"/>
    <w:basedOn w:val="1"/>
    <w:qFormat/>
    <w:uiPriority w:val="0"/>
    <w:pPr>
      <w:ind w:firstLine="20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Pages>
  <Words>7</Words>
  <Characters>7</Characters>
  <Lines>1</Lines>
  <Paragraphs>0</Paragraphs>
  <TotalTime>7</TotalTime>
  <ScaleCrop>false</ScaleCrop>
  <LinksUpToDate>false</LinksUpToDate>
  <CharactersWithSpaces>7</CharactersWithSpaces>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2025-12-13T14:55:00Z</dcterms:created>
  <dc:creator>Administrator</dc:creator>
  <cp:lastModifiedBy>Lenovo</cp:lastModifiedBy>
  <cp:lastPrinted>2026-02-27T15:41:00Z</cp:lastPrinted>
  <dcterms:modified xsi:type="dcterms:W3CDTF">2026-03-02T01:22:29Z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BC47D1B8D4674264811978DF94059C5B</vt:lpwstr>
  </property>
  <property fmtid="{D5CDD505-2E9C-101B-9397-08002B2CF9AE}" pid="4" name="KSOTemplateDocerSaveRecord">
    <vt:lpwstr>eyJoZGlkIjoiMTUyZmYzYjc2OTFkNjNlN2UwZmU3NjczYWJjNzQ2NTIiLCJ1c2VySWQiOiI0MjMyNDg0ODIifQ==</vt:lpwstr>
  </property>
</Properties>
</file>