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ED6A3">
      <w:pPr>
        <w:pStyle w:val="12"/>
        <w:keepNext w:val="0"/>
        <w:keepLines w:val="0"/>
        <w:pageBreakBefore w:val="0"/>
        <w:widowControl w:val="0"/>
        <w:kinsoku/>
        <w:wordWrap w:val="0"/>
        <w:overflowPunct/>
        <w:topLinePunct/>
        <w:autoSpaceDE/>
        <w:autoSpaceDN/>
        <w:bidi w:val="0"/>
        <w:adjustRightInd/>
        <w:snapToGrid/>
        <w:spacing w:before="0" w:after="0" w:line="560" w:lineRule="exact"/>
        <w:ind w:firstLine="0" w:firstLineChars="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附件1.2</w:t>
      </w:r>
      <w:bookmarkStart w:id="0" w:name="_GoBack"/>
      <w:bookmarkEnd w:id="0"/>
    </w:p>
    <w:p w14:paraId="6F1E9896">
      <w:pPr>
        <w:pStyle w:val="12"/>
        <w:keepNext w:val="0"/>
        <w:keepLines w:val="0"/>
        <w:pageBreakBefore w:val="0"/>
        <w:widowControl w:val="0"/>
        <w:kinsoku/>
        <w:wordWrap w:val="0"/>
        <w:overflowPunct/>
        <w:topLinePunct/>
        <w:autoSpaceDE/>
        <w:autoSpaceDN/>
        <w:bidi w:val="0"/>
        <w:adjustRightInd/>
        <w:snapToGrid/>
        <w:spacing w:before="0" w:after="0" w:line="560" w:lineRule="exact"/>
        <w:ind w:firstLine="0" w:firstLineChars="0"/>
        <w:jc w:val="center"/>
        <w:textAlignment w:val="auto"/>
        <w:rPr>
          <w:rFonts w:hint="eastAsia" w:ascii="方正小标宋_GBK" w:hAnsi="方正小标宋_GBK" w:eastAsia="方正小标宋_GBK" w:cs="方正小标宋_GBK"/>
          <w:b w:val="0"/>
          <w:bCs w:val="0"/>
          <w:sz w:val="44"/>
          <w:szCs w:val="44"/>
        </w:rPr>
      </w:pPr>
    </w:p>
    <w:p w14:paraId="72080B06">
      <w:pPr>
        <w:pStyle w:val="12"/>
        <w:keepNext w:val="0"/>
        <w:keepLines w:val="0"/>
        <w:pageBreakBefore w:val="0"/>
        <w:widowControl w:val="0"/>
        <w:kinsoku/>
        <w:wordWrap w:val="0"/>
        <w:overflowPunct/>
        <w:topLinePunct/>
        <w:autoSpaceDE/>
        <w:autoSpaceDN/>
        <w:bidi w:val="0"/>
        <w:adjustRightInd/>
        <w:snapToGrid/>
        <w:spacing w:before="0" w:after="0" w:line="560" w:lineRule="exact"/>
        <w:ind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《关于进一步提升概念验证服务能</w:t>
      </w:r>
      <w:r>
        <w:rPr>
          <w:rFonts w:hint="eastAsia" w:ascii="方正小标宋_GBK" w:hAnsi="方正小标宋_GBK" w:eastAsia="方正小标宋_GBK" w:cs="方正小标宋_GBK"/>
          <w:b w:val="0"/>
          <w:bCs w:val="0"/>
          <w:sz w:val="44"/>
          <w:szCs w:val="44"/>
          <w:lang w:eastAsia="zh-CN"/>
        </w:rPr>
        <w:t>力</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rPr>
        <w:t>促进科技成果转化的若干措施》起草说明</w:t>
      </w:r>
    </w:p>
    <w:p w14:paraId="30C436BE">
      <w:pPr>
        <w:pStyle w:val="4"/>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sz w:val="32"/>
          <w:szCs w:val="32"/>
        </w:rPr>
      </w:pPr>
    </w:p>
    <w:p w14:paraId="1DA93E56">
      <w:pPr>
        <w:pStyle w:val="2"/>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一、起草背景</w:t>
      </w:r>
    </w:p>
    <w:p w14:paraId="155A0FAC">
      <w:pPr>
        <w:pStyle w:val="2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深入贯彻落实本市关于进一步优化完善推动科技创新和产业融合发展机制要求，大力培育发展新质生产力，</w:t>
      </w:r>
      <w:r>
        <w:rPr>
          <w:rFonts w:hint="eastAsia" w:ascii="仿宋_GB2312" w:hAnsi="仿宋_GB2312" w:eastAsia="仿宋_GB2312" w:cs="仿宋_GB2312"/>
          <w:color w:val="auto"/>
          <w:sz w:val="32"/>
          <w:szCs w:val="32"/>
          <w:highlight w:val="none"/>
          <w:lang w:eastAsia="zh-CN"/>
        </w:rPr>
        <w:t>提升本市概念验证服务能力，</w:t>
      </w:r>
      <w:r>
        <w:rPr>
          <w:rFonts w:hint="default" w:ascii="仿宋_GB2312" w:hAnsi="仿宋_GB2312" w:eastAsia="仿宋_GB2312" w:cs="仿宋_GB2312"/>
          <w:color w:val="auto"/>
          <w:kern w:val="0"/>
          <w:sz w:val="32"/>
          <w:szCs w:val="32"/>
          <w:highlight w:val="none"/>
          <w:lang w:val="en-US" w:eastAsia="zh-CN" w:bidi="ar"/>
        </w:rPr>
        <w:t>充分发挥概念验证平台在</w:t>
      </w:r>
      <w:r>
        <w:rPr>
          <w:rFonts w:hint="eastAsia" w:ascii="仿宋_GB2312" w:hAnsi="仿宋_GB2312" w:eastAsia="仿宋_GB2312" w:cs="仿宋_GB2312"/>
          <w:color w:val="auto"/>
          <w:kern w:val="0"/>
          <w:sz w:val="32"/>
          <w:szCs w:val="32"/>
          <w:highlight w:val="none"/>
          <w:lang w:val="en-US" w:eastAsia="zh-CN" w:bidi="ar"/>
        </w:rPr>
        <w:t>推动</w:t>
      </w:r>
      <w:r>
        <w:rPr>
          <w:rFonts w:hint="default" w:ascii="仿宋_GB2312" w:hAnsi="仿宋_GB2312" w:eastAsia="仿宋_GB2312" w:cs="仿宋_GB2312"/>
          <w:color w:val="auto"/>
          <w:kern w:val="0"/>
          <w:sz w:val="32"/>
          <w:szCs w:val="32"/>
          <w:highlight w:val="none"/>
          <w:lang w:val="en-US" w:eastAsia="zh-CN" w:bidi="ar"/>
        </w:rPr>
        <w:t>科技成果转化中的关键作用</w:t>
      </w:r>
      <w:r>
        <w:rPr>
          <w:rFonts w:hint="eastAsia" w:ascii="仿宋_GB2312" w:hAnsi="仿宋_GB2312" w:eastAsia="仿宋_GB2312" w:cs="仿宋_GB2312"/>
          <w:color w:val="auto"/>
          <w:sz w:val="32"/>
          <w:szCs w:val="32"/>
          <w:highlight w:val="none"/>
          <w:lang w:val="en-US" w:eastAsia="zh-CN"/>
        </w:rPr>
        <w:t>，完善</w:t>
      </w:r>
      <w:r>
        <w:rPr>
          <w:rFonts w:hint="eastAsia" w:ascii="仿宋_GB2312" w:hAnsi="仿宋_GB2312" w:eastAsia="仿宋_GB2312" w:cs="仿宋_GB2312"/>
          <w:color w:val="auto"/>
          <w:sz w:val="32"/>
          <w:szCs w:val="32"/>
          <w:highlight w:val="none"/>
          <w:lang w:eastAsia="zh-CN"/>
        </w:rPr>
        <w:t>概念验证服务体系，优化科技成果转化生态，</w:t>
      </w:r>
      <w:r>
        <w:rPr>
          <w:rFonts w:hint="eastAsia" w:ascii="仿宋_GB2312" w:hAnsi="仿宋_GB2312" w:eastAsia="仿宋_GB2312" w:cs="仿宋_GB2312"/>
          <w:color w:val="auto"/>
          <w:sz w:val="32"/>
          <w:szCs w:val="32"/>
          <w:highlight w:val="none"/>
          <w:lang w:val="en-US" w:eastAsia="zh-CN"/>
        </w:rPr>
        <w:t>加快重大科技成果高效转化应用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制定《关于进一步提升概念验证服务能力 促进科技成果转化的若干措施》（以下简称《措施》）。</w:t>
      </w:r>
    </w:p>
    <w:p w14:paraId="23A05617">
      <w:pPr>
        <w:pStyle w:val="2"/>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二、起草过程</w:t>
      </w:r>
    </w:p>
    <w:p w14:paraId="53484D7A">
      <w:pPr>
        <w:pStyle w:val="2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本《措施》</w:t>
      </w:r>
      <w:r>
        <w:rPr>
          <w:rFonts w:hint="eastAsia" w:ascii="仿宋_GB2312" w:hAnsi="仿宋_GB2312" w:eastAsia="仿宋_GB2312" w:cs="仿宋_GB2312"/>
          <w:sz w:val="32"/>
          <w:szCs w:val="32"/>
        </w:rPr>
        <w:t>的起草始终坚持问题导向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目标导</w:t>
      </w:r>
      <w:r>
        <w:rPr>
          <w:rFonts w:hint="eastAsia" w:ascii="仿宋_GB2312" w:hAnsi="仿宋_GB2312" w:eastAsia="仿宋_GB2312" w:cs="仿宋_GB2312"/>
          <w:sz w:val="32"/>
          <w:szCs w:val="32"/>
          <w:lang w:val="en-US" w:eastAsia="zh-CN"/>
        </w:rPr>
        <w:t>和结果导向</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通过调研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系统梳理相结合的方式开展基础工作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开展前期调研，</w:t>
      </w:r>
      <w:r>
        <w:rPr>
          <w:rFonts w:hint="eastAsia" w:ascii="仿宋_GB2312" w:hAnsi="仿宋_GB2312" w:eastAsia="仿宋_GB2312" w:cs="仿宋_GB2312"/>
          <w:color w:val="auto"/>
          <w:sz w:val="32"/>
          <w:szCs w:val="32"/>
        </w:rPr>
        <w:t>赴北京昱栎技术有限公司人工智能硬件研发设计与中试智造概念验证平台</w:t>
      </w:r>
      <w:r>
        <w:rPr>
          <w:rFonts w:hint="eastAsia" w:ascii="仿宋_GB2312" w:hAnsi="仿宋_GB2312" w:eastAsia="仿宋_GB2312" w:cs="仿宋_GB2312"/>
          <w:color w:val="auto"/>
          <w:sz w:val="32"/>
          <w:szCs w:val="32"/>
          <w:lang w:eastAsia="zh-CN"/>
        </w:rPr>
        <w:t>、荷塘探索国际健康科技发展（北京）有限公司全球健康产业创新概念验证平台、北京双鹤润创科技有限公司人工智能驱动的创新药物开发与概念验证平台、智汇中科（北京）科技有限公司北京中科概念验证平台、首都医科大学附属北京安贞医院创新型心血管器械和药物研发概念验证平台</w:t>
      </w:r>
      <w:r>
        <w:rPr>
          <w:rFonts w:hint="eastAsia" w:ascii="仿宋_GB2312" w:hAnsi="仿宋_GB2312" w:eastAsia="仿宋_GB2312" w:cs="仿宋_GB2312"/>
          <w:color w:val="auto"/>
          <w:sz w:val="32"/>
          <w:szCs w:val="32"/>
          <w:lang w:val="en-US" w:eastAsia="zh-CN"/>
        </w:rPr>
        <w:t>等平台</w:t>
      </w:r>
      <w:r>
        <w:rPr>
          <w:rFonts w:hint="eastAsia" w:ascii="仿宋_GB2312" w:hAnsi="仿宋_GB2312" w:eastAsia="仿宋_GB2312" w:cs="仿宋_GB2312"/>
          <w:color w:val="auto"/>
          <w:sz w:val="32"/>
          <w:szCs w:val="32"/>
        </w:rPr>
        <w:t>进行调研，</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sz w:val="32"/>
          <w:szCs w:val="32"/>
        </w:rPr>
        <w:t>广泛收集各方对平台建设、服务体系构建、能力提升等方面的意见建议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开展系统梳理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汇总、梳理市科委、中关村管委会近年来支持的具备概念验证平台功能的项目，摸清建设底数、现状，总结</w:t>
      </w:r>
      <w:r>
        <w:rPr>
          <w:rFonts w:hint="eastAsia" w:ascii="仿宋_GB2312" w:hAnsi="仿宋_GB2312" w:eastAsia="仿宋_GB2312" w:cs="仿宋_GB2312"/>
          <w:color w:val="auto"/>
          <w:sz w:val="32"/>
          <w:szCs w:val="32"/>
        </w:rPr>
        <w:t>典型做法和主要模式，</w:t>
      </w:r>
      <w:r>
        <w:rPr>
          <w:rFonts w:hint="eastAsia" w:ascii="仿宋_GB2312" w:hAnsi="仿宋_GB2312" w:eastAsia="仿宋_GB2312" w:cs="仿宋_GB2312"/>
          <w:color w:val="auto"/>
          <w:sz w:val="32"/>
          <w:szCs w:val="32"/>
          <w:lang w:val="en-US" w:eastAsia="zh-CN"/>
        </w:rPr>
        <w:t>从机制、能力和协同等方面入手梳理存在的问题，</w:t>
      </w:r>
      <w:r>
        <w:rPr>
          <w:rFonts w:hint="eastAsia" w:ascii="仿宋_GB2312" w:hAnsi="仿宋_GB2312" w:eastAsia="仿宋_GB2312" w:cs="仿宋_GB2312"/>
          <w:sz w:val="32"/>
          <w:szCs w:val="32"/>
        </w:rPr>
        <w:t>确保措施的</w:t>
      </w:r>
      <w:r>
        <w:rPr>
          <w:rFonts w:hint="eastAsia" w:ascii="仿宋_GB2312" w:hAnsi="仿宋_GB2312" w:eastAsia="仿宋_GB2312" w:cs="仿宋_GB2312"/>
          <w:sz w:val="32"/>
          <w:szCs w:val="32"/>
          <w:lang w:val="en-US" w:eastAsia="zh-CN"/>
        </w:rPr>
        <w:t>针对性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lang w:val="en-US" w:eastAsia="zh-CN"/>
        </w:rPr>
        <w:t>借鉴</w:t>
      </w:r>
      <w:r>
        <w:rPr>
          <w:rFonts w:hint="eastAsia" w:ascii="仿宋_GB2312" w:hAnsi="仿宋_GB2312" w:eastAsia="仿宋_GB2312" w:cs="仿宋_GB2312"/>
          <w:sz w:val="32"/>
          <w:szCs w:val="32"/>
        </w:rPr>
        <w:t>先进经验，研究借鉴</w:t>
      </w:r>
      <w:r>
        <w:rPr>
          <w:rFonts w:hint="eastAsia" w:ascii="仿宋_GB2312" w:hAnsi="仿宋_GB2312" w:eastAsia="仿宋_GB2312" w:cs="仿宋_GB2312"/>
          <w:sz w:val="32"/>
          <w:szCs w:val="32"/>
          <w:lang w:val="en-US" w:eastAsia="zh-CN"/>
        </w:rPr>
        <w:t>国内重点省市支持概念验证平台建设的相关政策和</w:t>
      </w:r>
      <w:r>
        <w:rPr>
          <w:rFonts w:hint="eastAsia" w:ascii="仿宋_GB2312" w:hAnsi="仿宋_GB2312" w:eastAsia="仿宋_GB2312" w:cs="仿宋_GB2312"/>
          <w:sz w:val="32"/>
          <w:szCs w:val="32"/>
        </w:rPr>
        <w:t>成功案例，结合本市产业基础和创新优势，</w:t>
      </w:r>
      <w:r>
        <w:rPr>
          <w:rFonts w:hint="eastAsia" w:ascii="仿宋_GB2312" w:hAnsi="仿宋_GB2312" w:eastAsia="仿宋_GB2312" w:cs="仿宋_GB2312"/>
          <w:sz w:val="32"/>
          <w:szCs w:val="32"/>
          <w:lang w:val="en-US" w:eastAsia="zh-CN"/>
        </w:rPr>
        <w:t>做好经验的归纳、总结与吸收</w:t>
      </w:r>
      <w:r>
        <w:rPr>
          <w:rFonts w:hint="eastAsia" w:ascii="仿宋_GB2312" w:hAnsi="仿宋_GB2312" w:eastAsia="仿宋_GB2312" w:cs="仿宋_GB2312"/>
          <w:sz w:val="32"/>
          <w:szCs w:val="32"/>
        </w:rPr>
        <w:t>。</w:t>
      </w:r>
    </w:p>
    <w:p w14:paraId="7C2517B0">
      <w:pPr>
        <w:pStyle w:val="2"/>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三、主要内容</w:t>
      </w:r>
    </w:p>
    <w:p w14:paraId="15A6C4DD">
      <w:pPr>
        <w:pStyle w:val="2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rPr>
          <w:rFonts w:hint="eastAsia" w:ascii="楷体_GB2312" w:hAnsi="楷体_GB2312" w:eastAsia="楷体_GB2312" w:cs="楷体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措施</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围</w:t>
      </w:r>
      <w:r>
        <w:rPr>
          <w:rFonts w:hint="eastAsia" w:ascii="仿宋_GB2312" w:hAnsi="仿宋_GB2312" w:eastAsia="仿宋_GB2312" w:cs="仿宋_GB2312"/>
          <w:b w:val="0"/>
          <w:bCs w:val="0"/>
          <w:sz w:val="32"/>
          <w:szCs w:val="32"/>
          <w:highlight w:val="none"/>
          <w:lang w:eastAsia="zh-CN"/>
        </w:rPr>
        <w:t>绕</w:t>
      </w:r>
      <w:r>
        <w:rPr>
          <w:rFonts w:hint="eastAsia" w:ascii="仿宋_GB2312" w:hAnsi="仿宋_GB2312" w:eastAsia="仿宋_GB2312" w:cs="仿宋_GB2312"/>
          <w:b w:val="0"/>
          <w:bCs w:val="0"/>
          <w:sz w:val="32"/>
          <w:szCs w:val="32"/>
          <w:highlight w:val="none"/>
        </w:rPr>
        <w:t>“提升概念验证服务能力、促进科技成果转化</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核心目标，</w:t>
      </w:r>
      <w:r>
        <w:rPr>
          <w:rFonts w:hint="eastAsia" w:ascii="仿宋_GB2312" w:hAnsi="仿宋_GB2312" w:eastAsia="仿宋_GB2312" w:cs="仿宋_GB2312"/>
          <w:b w:val="0"/>
          <w:bCs w:val="0"/>
          <w:sz w:val="32"/>
          <w:szCs w:val="32"/>
          <w:highlight w:val="none"/>
          <w:lang w:val="en-US" w:eastAsia="zh-CN"/>
        </w:rPr>
        <w:t>主要包括以下四个部分12条措施：</w:t>
      </w:r>
    </w:p>
    <w:p w14:paraId="68C88DFC">
      <w:pPr>
        <w:pStyle w:val="2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1"/>
        <w:rPr>
          <w:rFonts w:hint="eastAsia" w:ascii="仿宋_GB2312" w:hAnsi="仿宋_GB2312" w:eastAsia="仿宋_GB2312" w:cs="仿宋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（一）加快概念验证平台布局</w:t>
      </w:r>
    </w:p>
    <w:p w14:paraId="3099BA91">
      <w:pPr>
        <w:pStyle w:val="20"/>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rPr>
          <w:rFonts w:hint="eastAsia" w:ascii="楷体_GB2312" w:hAnsi="楷体_GB2312" w:eastAsia="楷体_GB2312" w:cs="楷体_GB2312"/>
          <w:b w:val="0"/>
          <w:bCs w:val="0"/>
          <w:sz w:val="32"/>
          <w:szCs w:val="32"/>
          <w:highlight w:val="none"/>
          <w:lang w:eastAsia="zh-CN"/>
        </w:rPr>
      </w:pP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b w:val="0"/>
          <w:bCs w:val="0"/>
          <w:sz w:val="32"/>
          <w:szCs w:val="32"/>
          <w:highlight w:val="none"/>
          <w:lang w:eastAsia="zh-CN"/>
        </w:rPr>
        <w:t>加强重点产业平台布局，聚焦新一代信息技术、医药健康等重点产业，支持战略性新兴产业和未来产业平台建设，最高给予5000万元资金支持。</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b w:val="0"/>
          <w:bCs w:val="0"/>
          <w:sz w:val="32"/>
          <w:szCs w:val="32"/>
          <w:highlight w:val="none"/>
          <w:lang w:eastAsia="zh-CN"/>
        </w:rPr>
        <w:t>建立健全平台建设标准，出台工作指引，</w:t>
      </w:r>
      <w:r>
        <w:rPr>
          <w:rFonts w:hint="eastAsia" w:ascii="仿宋_GB2312" w:hAnsi="仿宋_GB2312" w:eastAsia="仿宋_GB2312" w:cs="仿宋_GB2312"/>
          <w:color w:val="auto"/>
          <w:kern w:val="0"/>
          <w:sz w:val="32"/>
          <w:szCs w:val="32"/>
          <w:highlight w:val="none"/>
          <w:lang w:val="en-US" w:eastAsia="zh-CN" w:bidi="ar"/>
        </w:rPr>
        <w:t>对纳入</w:t>
      </w:r>
      <w:r>
        <w:rPr>
          <w:rFonts w:hint="eastAsia" w:ascii="仿宋_GB2312" w:hAnsi="仿宋_GB2312" w:eastAsia="仿宋_GB2312" w:cs="仿宋_GB2312"/>
          <w:color w:val="auto"/>
          <w:kern w:val="2"/>
          <w:sz w:val="32"/>
          <w:szCs w:val="32"/>
          <w:highlight w:val="none"/>
          <w:lang w:val="en-US" w:eastAsia="zh-CN" w:bidi="ar-SA"/>
        </w:rPr>
        <w:t>概念验证服务体系的平台</w:t>
      </w:r>
      <w:r>
        <w:rPr>
          <w:rFonts w:hint="eastAsia" w:ascii="仿宋_GB2312" w:hAnsi="仿宋_GB2312" w:eastAsia="仿宋_GB2312" w:cs="仿宋_GB2312"/>
          <w:b w:val="0"/>
          <w:bCs w:val="0"/>
          <w:sz w:val="32"/>
          <w:szCs w:val="32"/>
          <w:highlight w:val="none"/>
          <w:lang w:eastAsia="zh-CN"/>
        </w:rPr>
        <w:t>实行年度评估和动态调整机制。</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b w:val="0"/>
          <w:bCs w:val="0"/>
          <w:sz w:val="32"/>
          <w:szCs w:val="32"/>
          <w:highlight w:val="none"/>
          <w:lang w:eastAsia="zh-CN"/>
        </w:rPr>
        <w:t>支持多元主体建设，鼓励研发单位、龙头企业、孵化器等参与，重点支持独立法人机构以概念验证为核心业务。</w:t>
      </w:r>
    </w:p>
    <w:p w14:paraId="14DBF2BB">
      <w:pPr>
        <w:pStyle w:val="2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1"/>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（二）提升概念验证服务能力</w:t>
      </w:r>
    </w:p>
    <w:p w14:paraId="7EE68733">
      <w:pPr>
        <w:pStyle w:val="20"/>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b w:val="0"/>
          <w:bCs w:val="0"/>
          <w:sz w:val="32"/>
          <w:szCs w:val="32"/>
          <w:highlight w:val="none"/>
          <w:lang w:eastAsia="zh-CN"/>
        </w:rPr>
        <w:t>提升技术验证能力，制定技术成熟度标准，支持</w:t>
      </w:r>
      <w:r>
        <w:rPr>
          <w:rFonts w:hint="eastAsia" w:ascii="仿宋_GB2312" w:hAnsi="仿宋_GB2312" w:eastAsia="仿宋_GB2312" w:cs="仿宋_GB2312"/>
          <w:b w:val="0"/>
          <w:bCs w:val="0"/>
          <w:color w:val="auto"/>
          <w:sz w:val="32"/>
          <w:szCs w:val="32"/>
          <w:highlight w:val="none"/>
          <w:lang w:val="en-US" w:eastAsia="zh-CN"/>
        </w:rPr>
        <w:t>原理验证、原型验证、小试验证</w:t>
      </w:r>
      <w:r>
        <w:rPr>
          <w:rFonts w:hint="eastAsia" w:ascii="仿宋_GB2312" w:hAnsi="仿宋_GB2312" w:eastAsia="仿宋_GB2312" w:cs="仿宋_GB2312"/>
          <w:b w:val="0"/>
          <w:bCs w:val="0"/>
          <w:sz w:val="32"/>
          <w:szCs w:val="32"/>
          <w:highlight w:val="none"/>
          <w:lang w:eastAsia="zh-CN"/>
        </w:rPr>
        <w:t>等服务，</w:t>
      </w:r>
      <w:r>
        <w:rPr>
          <w:rFonts w:hint="eastAsia" w:ascii="仿宋_GB2312" w:hAnsi="仿宋_GB2312" w:eastAsia="仿宋_GB2312" w:cs="仿宋_GB2312"/>
          <w:b w:val="0"/>
          <w:bCs w:val="0"/>
          <w:color w:val="auto"/>
          <w:sz w:val="32"/>
          <w:szCs w:val="32"/>
          <w:highlight w:val="none"/>
          <w:lang w:val="en-US" w:eastAsia="zh-CN"/>
        </w:rPr>
        <w:t>探索推动将概念验证平台服务纳入</w:t>
      </w:r>
      <w:r>
        <w:rPr>
          <w:rFonts w:hint="eastAsia" w:ascii="仿宋_GB2312" w:hAnsi="仿宋_GB2312" w:eastAsia="仿宋_GB2312" w:cs="仿宋_GB2312"/>
          <w:sz w:val="32"/>
          <w:szCs w:val="32"/>
          <w:highlight w:val="none"/>
        </w:rPr>
        <w:t>首都科技</w:t>
      </w:r>
      <w:r>
        <w:rPr>
          <w:rFonts w:hint="eastAsia" w:ascii="仿宋_GB2312" w:hAnsi="仿宋_GB2312" w:eastAsia="仿宋_GB2312" w:cs="仿宋_GB2312"/>
          <w:sz w:val="32"/>
          <w:szCs w:val="32"/>
          <w:highlight w:val="none"/>
          <w:lang w:val="en-US" w:eastAsia="zh-CN"/>
        </w:rPr>
        <w:t>创新券支持范围</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b w:val="0"/>
          <w:bCs w:val="0"/>
          <w:sz w:val="32"/>
          <w:szCs w:val="32"/>
          <w:highlight w:val="none"/>
          <w:lang w:eastAsia="zh-CN"/>
        </w:rPr>
        <w:t>提升商业验证能力，建立商业化评价体系，对接市场资源，强化技术经理人团队，支持</w:t>
      </w:r>
      <w:r>
        <w:rPr>
          <w:rFonts w:hint="eastAsia" w:ascii="仿宋_GB2312" w:hAnsi="仿宋_GB2312" w:eastAsia="仿宋_GB2312" w:cs="仿宋_GB2312"/>
          <w:color w:val="auto"/>
          <w:kern w:val="2"/>
          <w:sz w:val="32"/>
          <w:szCs w:val="32"/>
          <w:highlight w:val="none"/>
          <w:lang w:val="en-US" w:eastAsia="zh-CN" w:bidi="ar-SA"/>
        </w:rPr>
        <w:t>应用场景与需求验证</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市场验证与竞争分析、成本验证与政策分析、商业模式设计</w:t>
      </w:r>
      <w:r>
        <w:rPr>
          <w:rFonts w:hint="eastAsia" w:ascii="仿宋_GB2312" w:hAnsi="仿宋_GB2312" w:eastAsia="仿宋_GB2312" w:cs="仿宋_GB2312"/>
          <w:color w:val="auto"/>
          <w:sz w:val="32"/>
          <w:szCs w:val="32"/>
          <w:highlight w:val="none"/>
          <w:lang w:val="en-US" w:eastAsia="zh-CN"/>
        </w:rPr>
        <w:t>等服务</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b w:val="0"/>
          <w:bCs w:val="0"/>
          <w:sz w:val="32"/>
          <w:szCs w:val="32"/>
          <w:highlight w:val="none"/>
          <w:lang w:eastAsia="zh-CN"/>
        </w:rPr>
        <w:t>提升数智化服务能力，运用AI技术优化验证效率，降低成本，加强智能服务平台资源匹配。</w:t>
      </w:r>
    </w:p>
    <w:p w14:paraId="7C9A3EC0">
      <w:pPr>
        <w:pStyle w:val="2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1"/>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（三）强化项目培育转化</w:t>
      </w:r>
    </w:p>
    <w:p w14:paraId="2460AD1F">
      <w:pPr>
        <w:pStyle w:val="20"/>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b w:val="0"/>
          <w:bCs w:val="0"/>
          <w:sz w:val="32"/>
          <w:szCs w:val="32"/>
          <w:highlight w:val="none"/>
          <w:lang w:eastAsia="zh-CN"/>
        </w:rPr>
        <w:t>强化项目挖掘，开放科技成果库，建立分类分级项目库，拓宽挖掘渠道。</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b w:val="0"/>
          <w:bCs w:val="0"/>
          <w:sz w:val="32"/>
          <w:szCs w:val="32"/>
          <w:highlight w:val="none"/>
          <w:lang w:eastAsia="zh-CN"/>
        </w:rPr>
        <w:t>推动转化落地，加强全程跟踪服务，提供转化方案等支持，</w:t>
      </w:r>
      <w:r>
        <w:rPr>
          <w:rFonts w:hint="eastAsia" w:ascii="仿宋_GB2312" w:hAnsi="仿宋_GB2312" w:eastAsia="仿宋_GB2312" w:cs="仿宋_GB2312"/>
          <w:b w:val="0"/>
          <w:bCs w:val="0"/>
          <w:sz w:val="32"/>
          <w:szCs w:val="32"/>
          <w:highlight w:val="none"/>
          <w:lang w:val="en-US" w:eastAsia="zh-CN"/>
        </w:rPr>
        <w:t>给予</w:t>
      </w:r>
      <w:r>
        <w:rPr>
          <w:rFonts w:hint="eastAsia" w:ascii="仿宋_GB2312" w:hAnsi="仿宋_GB2312" w:eastAsia="仿宋_GB2312" w:cs="仿宋_GB2312"/>
          <w:b w:val="0"/>
          <w:bCs w:val="0"/>
          <w:sz w:val="32"/>
          <w:szCs w:val="32"/>
          <w:highlight w:val="none"/>
          <w:lang w:eastAsia="zh-CN"/>
        </w:rPr>
        <w:t>优质平台最高500万元资金支持，新创办企业200万元</w:t>
      </w:r>
      <w:r>
        <w:rPr>
          <w:rFonts w:hint="eastAsia" w:ascii="仿宋_GB2312" w:hAnsi="仿宋_GB2312" w:eastAsia="仿宋_GB2312" w:cs="仿宋_GB2312"/>
          <w:b w:val="0"/>
          <w:bCs w:val="0"/>
          <w:color w:val="auto"/>
          <w:sz w:val="32"/>
          <w:szCs w:val="32"/>
          <w:highlight w:val="none"/>
          <w:lang w:val="en-US" w:eastAsia="zh-CN"/>
        </w:rPr>
        <w:t>拨投联动</w:t>
      </w:r>
      <w:r>
        <w:rPr>
          <w:rFonts w:hint="eastAsia" w:ascii="仿宋_GB2312" w:hAnsi="仿宋_GB2312" w:eastAsia="仿宋_GB2312" w:cs="仿宋_GB2312"/>
          <w:b w:val="0"/>
          <w:bCs w:val="0"/>
          <w:sz w:val="32"/>
          <w:szCs w:val="32"/>
          <w:highlight w:val="none"/>
          <w:lang w:eastAsia="zh-CN"/>
        </w:rPr>
        <w:t>支持。</w:t>
      </w:r>
    </w:p>
    <w:p w14:paraId="05F08CC1">
      <w:pPr>
        <w:pStyle w:val="2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1"/>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（四）加强配套要素保障</w:t>
      </w:r>
    </w:p>
    <w:p w14:paraId="404F3D16">
      <w:pPr>
        <w:pStyle w:val="20"/>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b w:val="0"/>
          <w:bCs w:val="0"/>
          <w:sz w:val="32"/>
          <w:szCs w:val="32"/>
          <w:highlight w:val="none"/>
          <w:lang w:eastAsia="zh-CN"/>
        </w:rPr>
        <w:t>加强金融创新支持，支持各平台探索风险分担机制，设立概念验证基金，开发适配金融产品。</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b w:val="0"/>
          <w:bCs w:val="0"/>
          <w:sz w:val="32"/>
          <w:szCs w:val="32"/>
          <w:highlight w:val="none"/>
          <w:lang w:eastAsia="zh-CN"/>
        </w:rPr>
        <w:t>加强人才队伍建设，联合培养技术经理人，完善评价规范，</w:t>
      </w:r>
      <w:r>
        <w:rPr>
          <w:rFonts w:hint="eastAsia" w:ascii="Times New Roman" w:hAnsi="Times New Roman" w:eastAsia="仿宋_GB2312" w:cs="Times New Roman"/>
          <w:color w:val="auto"/>
          <w:w w:val="100"/>
          <w:sz w:val="32"/>
          <w:szCs w:val="32"/>
          <w:highlight w:val="none"/>
          <w:lang w:val="en-US" w:eastAsia="zh-CN"/>
        </w:rPr>
        <w:t>将优秀技术经理人</w:t>
      </w:r>
      <w:r>
        <w:rPr>
          <w:rFonts w:hint="eastAsia" w:ascii="仿宋_GB2312" w:hAnsi="仿宋_GB2312" w:eastAsia="仿宋_GB2312" w:cs="仿宋_GB2312"/>
          <w:b w:val="0"/>
          <w:bCs w:val="0"/>
          <w:sz w:val="32"/>
          <w:szCs w:val="32"/>
          <w:highlight w:val="none"/>
          <w:lang w:eastAsia="zh-CN"/>
        </w:rPr>
        <w:t>纳入人才政策体系。</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b w:val="0"/>
          <w:bCs w:val="0"/>
          <w:sz w:val="32"/>
          <w:szCs w:val="32"/>
          <w:highlight w:val="none"/>
          <w:lang w:eastAsia="zh-CN"/>
        </w:rPr>
        <w:t>加强应用场景开放，整合场景资源，明确开放流程，联合开展验证设计</w:t>
      </w:r>
      <w:r>
        <w:rPr>
          <w:rFonts w:hint="eastAsia" w:ascii="仿宋_GB2312" w:hAnsi="仿宋_GB2312" w:eastAsia="仿宋_GB2312" w:cs="仿宋_GB2312"/>
          <w:color w:val="auto"/>
          <w:sz w:val="32"/>
          <w:szCs w:val="32"/>
          <w:highlight w:val="none"/>
        </w:rPr>
        <w:t>和成果适配应用</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bCs/>
          <w:sz w:val="32"/>
          <w:szCs w:val="32"/>
          <w:highlight w:val="none"/>
          <w:lang w:eastAsia="zh-CN"/>
        </w:rPr>
        <w:t>四是</w:t>
      </w:r>
      <w:r>
        <w:rPr>
          <w:rFonts w:hint="eastAsia" w:ascii="仿宋_GB2312" w:hAnsi="仿宋_GB2312" w:eastAsia="仿宋_GB2312" w:cs="仿宋_GB2312"/>
          <w:b w:val="0"/>
          <w:bCs w:val="0"/>
          <w:sz w:val="32"/>
          <w:szCs w:val="32"/>
          <w:highlight w:val="none"/>
          <w:lang w:eastAsia="zh-CN"/>
        </w:rPr>
        <w:t>加强政策宣传引导，总结典型案例，举办交流活动，营造良好氛围。</w:t>
      </w:r>
    </w:p>
    <w:sectPr>
      <w:footerReference r:id="rId3" w:type="default"/>
      <w:pgSz w:w="11906" w:h="16838"/>
      <w:pgMar w:top="2098" w:right="1474" w:bottom="1984" w:left="158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CC50EE-B396-4C95-9296-7A0EFA5EFF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6E3D7FDE-A9D5-48DA-83E7-89F74225A268}"/>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D8DB0040-9746-4AF1-AA9B-C856147EADC2}"/>
  </w:font>
  <w:font w:name="楷体_GB2312">
    <w:panose1 w:val="02010609030101010101"/>
    <w:charset w:val="86"/>
    <w:family w:val="auto"/>
    <w:pitch w:val="default"/>
    <w:sig w:usb0="00000001" w:usb1="080E0000" w:usb2="00000000" w:usb3="00000000" w:csb0="00040000" w:csb1="00000000"/>
    <w:embedRegular r:id="rId4" w:fontKey="{DCA3574F-3FC9-4E79-97EE-59507CCE3E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B0EB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4A04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14A04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D10302B"/>
    <w:rsid w:val="0E172295"/>
    <w:rsid w:val="113A1FB7"/>
    <w:rsid w:val="12714ACF"/>
    <w:rsid w:val="137E7C62"/>
    <w:rsid w:val="21015A43"/>
    <w:rsid w:val="332D12D0"/>
    <w:rsid w:val="33DF1263"/>
    <w:rsid w:val="34EC7728"/>
    <w:rsid w:val="4A5F779D"/>
    <w:rsid w:val="51EE7FBF"/>
    <w:rsid w:val="5FE33B7B"/>
    <w:rsid w:val="61866781"/>
    <w:rsid w:val="6ADE3093"/>
    <w:rsid w:val="6CBA349E"/>
    <w:rsid w:val="70F524C2"/>
    <w:rsid w:val="737233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9"/>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qFormat/>
    <w:uiPriority w:val="0"/>
    <w:pPr>
      <w:spacing w:before="480" w:after="480" w:line="288" w:lineRule="auto"/>
      <w:ind w:left="0"/>
    </w:pPr>
    <w:rPr>
      <w:rFonts w:ascii="Arial" w:hAnsi="Arial" w:eastAsia="等线" w:cs="Arial"/>
      <w:b/>
      <w:bCs/>
      <w:sz w:val="52"/>
      <w:szCs w:val="52"/>
    </w:rPr>
  </w:style>
  <w:style w:type="character" w:styleId="15">
    <w:name w:val="Strong"/>
    <w:basedOn w:val="14"/>
    <w:qFormat/>
    <w:uiPriority w:val="0"/>
    <w:rPr>
      <w:b/>
    </w:rPr>
  </w:style>
  <w:style w:type="character" w:styleId="16">
    <w:name w:val="Hyperlink"/>
    <w:unhideWhenUsed/>
    <w:qFormat/>
    <w:uiPriority w:val="99"/>
    <w:rPr>
      <w:color w:val="0563C1"/>
      <w:u w:val="single"/>
    </w:rPr>
  </w:style>
  <w:style w:type="character" w:styleId="17">
    <w:name w:val="footnote reference"/>
    <w:semiHidden/>
    <w:unhideWhenUsed/>
    <w:qFormat/>
    <w:uiPriority w:val="99"/>
    <w:rPr>
      <w:vertAlign w:val="superscript"/>
    </w:rPr>
  </w:style>
  <w:style w:type="paragraph" w:styleId="18">
    <w:name w:val="List Paragraph"/>
    <w:qFormat/>
    <w:uiPriority w:val="0"/>
    <w:rPr>
      <w:rFonts w:asciiTheme="minorHAnsi" w:hAnsiTheme="minorHAnsi" w:eastAsiaTheme="minorEastAsia" w:cstheme="minorBidi"/>
      <w:sz w:val="21"/>
      <w:szCs w:val="22"/>
    </w:rPr>
  </w:style>
  <w:style w:type="character" w:customStyle="1" w:styleId="19">
    <w:name w:val="Footnote Text Char"/>
    <w:link w:val="10"/>
    <w:semiHidden/>
    <w:unhideWhenUsed/>
    <w:qFormat/>
    <w:uiPriority w:val="99"/>
    <w:rPr>
      <w:sz w:val="20"/>
      <w:szCs w:val="20"/>
    </w:r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 w:type="paragraph" w:customStyle="1" w:styleId="21">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1346</Words>
  <Characters>1357</Characters>
  <TotalTime>3</TotalTime>
  <ScaleCrop>false</ScaleCrop>
  <LinksUpToDate>false</LinksUpToDate>
  <CharactersWithSpaces>1359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2025-12-17T08:55:00Z</dcterms:created>
  <dc:creator>Un-named</dc:creator>
  <cp:lastModifiedBy>金豆</cp:lastModifiedBy>
  <dcterms:modified xsi:type="dcterms:W3CDTF">2026-03-02T04:42:12Z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eyJoZGlkIjoiNWIyOTk5ODNiZmQ5MTliN2FhZDZlZmIzMDQyNTA1YjAiLCJ1c2VySWQiOiI0MjQ0NjgyODgifQ==</vt:lpwstr>
  </property>
  <property fmtid="{D5CDD505-2E9C-101B-9397-08002B2CF9AE}" pid="3" name="KSOProductBuildVer">
    <vt:lpwstr>2052-12.1.0.25225</vt:lpwstr>
  </property>
  <property fmtid="{D5CDD505-2E9C-101B-9397-08002B2CF9AE}" pid="4" name="ICV">
    <vt:lpwstr>B1DA0E891CF64795A46DE578B57DD943_13</vt:lpwstr>
  </property>
</Properties>
</file>