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BFD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附件1.1</w:t>
      </w:r>
      <w:bookmarkStart w:id="0" w:name="_GoBack"/>
      <w:bookmarkEnd w:id="0"/>
    </w:p>
    <w:p w14:paraId="32192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p>
    <w:p w14:paraId="5BB380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关于进一步提升概念验证服务能力</w:t>
      </w:r>
    </w:p>
    <w:p w14:paraId="01DFF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促进科技成果转化的若干措施</w:t>
      </w:r>
    </w:p>
    <w:p w14:paraId="3EA8B3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楷体_GB2312" w:hAnsi="楷体_GB2312" w:eastAsia="楷体_GB2312" w:cs="楷体_GB2312"/>
          <w:color w:val="auto"/>
          <w:sz w:val="32"/>
          <w:szCs w:val="32"/>
          <w:highlight w:val="none"/>
          <w:lang w:eastAsia="zh-CN"/>
        </w:rPr>
        <w:t>（征求意见稿）</w:t>
      </w:r>
    </w:p>
    <w:p w14:paraId="05E51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深入贯彻落实本市关于进一步优化完善推动科技创新和产业融合发展机制要求，大力培育发展新质生产力，</w:t>
      </w:r>
      <w:r>
        <w:rPr>
          <w:rFonts w:hint="eastAsia" w:ascii="仿宋_GB2312" w:hAnsi="仿宋_GB2312" w:eastAsia="仿宋_GB2312" w:cs="仿宋_GB2312"/>
          <w:color w:val="auto"/>
          <w:sz w:val="32"/>
          <w:szCs w:val="32"/>
          <w:highlight w:val="none"/>
          <w:lang w:eastAsia="zh-CN"/>
        </w:rPr>
        <w:t>提升本市概念验证服务能力，</w:t>
      </w:r>
      <w:r>
        <w:rPr>
          <w:rFonts w:hint="default" w:ascii="仿宋_GB2312" w:hAnsi="仿宋_GB2312" w:eastAsia="仿宋_GB2312" w:cs="仿宋_GB2312"/>
          <w:color w:val="auto"/>
          <w:kern w:val="0"/>
          <w:sz w:val="32"/>
          <w:szCs w:val="32"/>
          <w:highlight w:val="none"/>
          <w:lang w:val="en-US" w:eastAsia="zh-CN" w:bidi="ar"/>
        </w:rPr>
        <w:t>充分发挥概念验证平台在</w:t>
      </w:r>
      <w:r>
        <w:rPr>
          <w:rFonts w:hint="eastAsia" w:ascii="仿宋_GB2312" w:hAnsi="仿宋_GB2312" w:eastAsia="仿宋_GB2312" w:cs="仿宋_GB2312"/>
          <w:color w:val="auto"/>
          <w:kern w:val="0"/>
          <w:sz w:val="32"/>
          <w:szCs w:val="32"/>
          <w:highlight w:val="none"/>
          <w:lang w:val="en-US" w:eastAsia="zh-CN" w:bidi="ar"/>
        </w:rPr>
        <w:t>推动</w:t>
      </w:r>
      <w:r>
        <w:rPr>
          <w:rFonts w:hint="default" w:ascii="仿宋_GB2312" w:hAnsi="仿宋_GB2312" w:eastAsia="仿宋_GB2312" w:cs="仿宋_GB2312"/>
          <w:color w:val="auto"/>
          <w:kern w:val="0"/>
          <w:sz w:val="32"/>
          <w:szCs w:val="32"/>
          <w:highlight w:val="none"/>
          <w:lang w:val="en-US" w:eastAsia="zh-CN" w:bidi="ar"/>
        </w:rPr>
        <w:t>科技成果转化中的关键作用</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力争到</w:t>
      </w:r>
      <w:r>
        <w:rPr>
          <w:rFonts w:hint="eastAsia" w:ascii="仿宋_GB2312" w:hAnsi="仿宋_GB2312" w:eastAsia="仿宋_GB2312" w:cs="仿宋_GB2312"/>
          <w:color w:val="auto"/>
          <w:sz w:val="32"/>
          <w:szCs w:val="32"/>
          <w:highlight w:val="none"/>
          <w:lang w:val="en-US" w:eastAsia="zh-CN"/>
        </w:rPr>
        <w:t>2030年，布局建设100个概念验证平台，完善</w:t>
      </w:r>
      <w:r>
        <w:rPr>
          <w:rFonts w:hint="eastAsia" w:ascii="仿宋_GB2312" w:hAnsi="仿宋_GB2312" w:eastAsia="仿宋_GB2312" w:cs="仿宋_GB2312"/>
          <w:color w:val="auto"/>
          <w:sz w:val="32"/>
          <w:szCs w:val="32"/>
          <w:highlight w:val="none"/>
          <w:lang w:eastAsia="zh-CN"/>
        </w:rPr>
        <w:t>概念验证服务体系，优化科技成果转化生态，</w:t>
      </w:r>
      <w:r>
        <w:rPr>
          <w:rFonts w:hint="eastAsia" w:ascii="仿宋_GB2312" w:hAnsi="仿宋_GB2312" w:eastAsia="仿宋_GB2312" w:cs="仿宋_GB2312"/>
          <w:color w:val="auto"/>
          <w:sz w:val="32"/>
          <w:szCs w:val="32"/>
          <w:highlight w:val="none"/>
          <w:lang w:val="en-US" w:eastAsia="zh-CN"/>
        </w:rPr>
        <w:t>加快重大科技成果高效转化应用</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特制定本措施。</w:t>
      </w:r>
    </w:p>
    <w:p w14:paraId="7D84CE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加快概念验证平台布局</w:t>
      </w:r>
    </w:p>
    <w:p w14:paraId="4CC7B43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加强重点领域平台布局。</w:t>
      </w:r>
      <w:r>
        <w:rPr>
          <w:rFonts w:hint="eastAsia" w:ascii="仿宋_GB2312" w:hAnsi="仿宋_GB2312" w:eastAsia="仿宋_GB2312" w:cs="仿宋_GB2312"/>
          <w:color w:val="auto"/>
          <w:sz w:val="32"/>
          <w:szCs w:val="32"/>
          <w:highlight w:val="none"/>
          <w:lang w:val="en-US" w:eastAsia="zh-CN"/>
        </w:rPr>
        <w:t>强化顶层设计与系统谋划，以市场需求为导向、以产业发展为目标，聚焦细分领域，补齐科技成果从实验室走向产业化的概念验证环节短板。统筹</w:t>
      </w:r>
      <w:r>
        <w:rPr>
          <w:rFonts w:hint="eastAsia" w:ascii="仿宋_GB2312" w:hAnsi="仿宋_GB2312" w:eastAsia="仿宋_GB2312" w:cs="仿宋_GB2312"/>
          <w:color w:val="auto"/>
          <w:sz w:val="32"/>
          <w:szCs w:val="32"/>
          <w:highlight w:val="none"/>
          <w:lang w:eastAsia="zh-CN"/>
        </w:rPr>
        <w:t>优化新一代信息技术、医药健康、人工智能、</w:t>
      </w:r>
      <w:r>
        <w:rPr>
          <w:rFonts w:hint="eastAsia" w:ascii="仿宋_GB2312" w:hAnsi="仿宋_GB2312" w:eastAsia="仿宋_GB2312" w:cs="仿宋_GB2312"/>
          <w:color w:val="auto"/>
          <w:sz w:val="32"/>
          <w:szCs w:val="32"/>
          <w:highlight w:val="none"/>
        </w:rPr>
        <w:t>高端仪器、</w:t>
      </w:r>
      <w:r>
        <w:rPr>
          <w:rFonts w:hint="eastAsia" w:ascii="仿宋_GB2312" w:hAnsi="仿宋_GB2312" w:eastAsia="仿宋_GB2312" w:cs="仿宋_GB2312"/>
          <w:color w:val="auto"/>
          <w:sz w:val="32"/>
          <w:szCs w:val="32"/>
          <w:highlight w:val="none"/>
          <w:lang w:eastAsia="zh-CN"/>
        </w:rPr>
        <w:t>绿色先进能源和低碳环保等重点产业平台布局，加快推进集成电路、机器人和智能制造、智能网联汽车、空天技术等战略性新兴产业平台建设，前瞻培育第六代移动通信、量子科技、生物制造、脑机接口等未来产业概念验证支撑能力。</w:t>
      </w:r>
      <w:r>
        <w:rPr>
          <w:rFonts w:hint="eastAsia" w:ascii="仿宋_GB2312" w:hAnsi="仿宋_GB2312" w:eastAsia="仿宋_GB2312" w:cs="仿宋_GB2312"/>
          <w:b w:val="0"/>
          <w:bCs w:val="0"/>
          <w:color w:val="auto"/>
          <w:sz w:val="32"/>
          <w:szCs w:val="32"/>
          <w:highlight w:val="none"/>
          <w:lang w:val="en-US" w:eastAsia="zh-CN"/>
        </w:rPr>
        <w:t>对符合条件的重大平台，给予最长3年、总额不超过5000万元的资金支持</w:t>
      </w:r>
      <w:r>
        <w:rPr>
          <w:rFonts w:hint="eastAsia" w:ascii="仿宋_GB2312" w:hAnsi="仿宋_GB2312" w:eastAsia="仿宋_GB2312" w:cs="仿宋_GB2312"/>
          <w:bCs/>
          <w:color w:val="auto"/>
          <w:sz w:val="32"/>
          <w:szCs w:val="32"/>
          <w:highlight w:val="none"/>
          <w:lang w:val="en-US" w:eastAsia="zh-CN"/>
        </w:rPr>
        <w:t>。</w:t>
      </w:r>
    </w:p>
    <w:p w14:paraId="1A101A4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建立健全平台建设标准。</w:t>
      </w:r>
      <w:r>
        <w:rPr>
          <w:rFonts w:hint="eastAsia" w:ascii="仿宋_GB2312" w:hAnsi="仿宋_GB2312" w:eastAsia="仿宋_GB2312" w:cs="仿宋_GB2312"/>
          <w:b w:val="0"/>
          <w:bCs w:val="0"/>
          <w:color w:val="auto"/>
          <w:sz w:val="32"/>
          <w:szCs w:val="32"/>
          <w:highlight w:val="none"/>
          <w:lang w:val="en-US" w:eastAsia="zh-CN"/>
        </w:rPr>
        <w:t>出台概念验证平台建设工作指引，</w:t>
      </w:r>
      <w:r>
        <w:rPr>
          <w:rFonts w:hint="eastAsia" w:ascii="仿宋_GB2312" w:hAnsi="仿宋_GB2312" w:eastAsia="仿宋_GB2312" w:cs="仿宋_GB2312"/>
          <w:color w:val="auto"/>
          <w:kern w:val="0"/>
          <w:sz w:val="32"/>
          <w:szCs w:val="32"/>
          <w:highlight w:val="none"/>
          <w:lang w:val="en-US" w:eastAsia="zh-CN" w:bidi="ar"/>
        </w:rPr>
        <w:t>明确平台功能定位、建设原则、建设导向、建设条件、组织管理和支持政策，对纳入</w:t>
      </w:r>
      <w:r>
        <w:rPr>
          <w:rFonts w:hint="eastAsia" w:ascii="仿宋_GB2312" w:hAnsi="仿宋_GB2312" w:eastAsia="仿宋_GB2312" w:cs="仿宋_GB2312"/>
          <w:color w:val="auto"/>
          <w:kern w:val="2"/>
          <w:sz w:val="32"/>
          <w:szCs w:val="32"/>
          <w:highlight w:val="none"/>
          <w:lang w:val="en-US" w:eastAsia="zh-CN" w:bidi="ar-SA"/>
        </w:rPr>
        <w:t>概念验证服务体系的平台，</w:t>
      </w:r>
      <w:r>
        <w:rPr>
          <w:rFonts w:hint="eastAsia" w:ascii="仿宋_GB2312" w:hAnsi="仿宋_GB2312" w:eastAsia="仿宋_GB2312" w:cs="仿宋_GB2312"/>
          <w:b w:val="0"/>
          <w:bCs w:val="0"/>
          <w:color w:val="auto"/>
          <w:sz w:val="32"/>
          <w:szCs w:val="32"/>
          <w:highlight w:val="none"/>
          <w:lang w:val="en-US" w:eastAsia="zh-CN"/>
        </w:rPr>
        <w:t>实行</w:t>
      </w:r>
      <w:r>
        <w:rPr>
          <w:rFonts w:hint="eastAsia" w:ascii="仿宋_GB2312" w:hAnsi="仿宋_GB2312" w:eastAsia="仿宋_GB2312" w:cs="仿宋_GB2312"/>
          <w:color w:val="auto"/>
          <w:sz w:val="32"/>
          <w:szCs w:val="32"/>
          <w:highlight w:val="none"/>
        </w:rPr>
        <w:t>年度评估</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动态调整</w:t>
      </w:r>
      <w:r>
        <w:rPr>
          <w:rFonts w:hint="eastAsia" w:ascii="仿宋_GB2312" w:hAnsi="仿宋_GB2312" w:eastAsia="仿宋_GB2312" w:cs="仿宋_GB2312"/>
          <w:color w:val="auto"/>
          <w:sz w:val="32"/>
          <w:szCs w:val="32"/>
          <w:highlight w:val="none"/>
          <w:lang w:eastAsia="zh-CN"/>
        </w:rPr>
        <w:t>，引导各平台健全服务功能、提升服务能力，</w:t>
      </w:r>
      <w:r>
        <w:rPr>
          <w:rFonts w:hint="eastAsia" w:ascii="仿宋_GB2312" w:hAnsi="仿宋_GB2312" w:eastAsia="仿宋_GB2312" w:cs="仿宋_GB2312"/>
          <w:b w:val="0"/>
          <w:bCs w:val="0"/>
          <w:color w:val="auto"/>
          <w:sz w:val="32"/>
          <w:szCs w:val="32"/>
          <w:highlight w:val="none"/>
          <w:lang w:val="en-US" w:eastAsia="zh-CN"/>
        </w:rPr>
        <w:t>对能力强、成效好的平台给予重点支持、增加资源投入。</w:t>
      </w:r>
    </w:p>
    <w:p w14:paraId="735620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支持多元主体进行平台建设。</w:t>
      </w:r>
      <w:r>
        <w:rPr>
          <w:rFonts w:hint="eastAsia" w:ascii="仿宋_GB2312" w:hAnsi="仿宋_GB2312" w:eastAsia="仿宋_GB2312" w:cs="仿宋_GB2312"/>
          <w:b w:val="0"/>
          <w:bCs/>
          <w:color w:val="auto"/>
          <w:sz w:val="32"/>
          <w:szCs w:val="32"/>
          <w:highlight w:val="none"/>
        </w:rPr>
        <w:t>支持</w:t>
      </w:r>
      <w:r>
        <w:rPr>
          <w:rFonts w:hint="eastAsia" w:ascii="仿宋_GB2312" w:hAnsi="仿宋_GB2312" w:eastAsia="仿宋_GB2312" w:cs="仿宋_GB2312"/>
          <w:bCs/>
          <w:color w:val="auto"/>
          <w:sz w:val="32"/>
          <w:szCs w:val="32"/>
          <w:highlight w:val="none"/>
        </w:rPr>
        <w:t>高等院校、科研机构、医疗卫生机构（</w:t>
      </w:r>
      <w:r>
        <w:rPr>
          <w:rFonts w:hint="eastAsia" w:ascii="仿宋_GB2312" w:hAnsi="仿宋_GB2312" w:eastAsia="仿宋_GB2312" w:cs="仿宋_GB2312"/>
          <w:bCs/>
          <w:color w:val="auto"/>
          <w:sz w:val="32"/>
          <w:szCs w:val="32"/>
          <w:highlight w:val="none"/>
          <w:lang w:eastAsia="zh-CN"/>
        </w:rPr>
        <w:t>以下</w:t>
      </w:r>
      <w:r>
        <w:rPr>
          <w:rFonts w:hint="eastAsia" w:ascii="仿宋_GB2312" w:hAnsi="仿宋_GB2312" w:eastAsia="仿宋_GB2312" w:cs="仿宋_GB2312"/>
          <w:bCs/>
          <w:color w:val="auto"/>
          <w:sz w:val="32"/>
          <w:szCs w:val="32"/>
          <w:highlight w:val="none"/>
        </w:rPr>
        <w:t>统称</w:t>
      </w:r>
      <w:r>
        <w:rPr>
          <w:rFonts w:hint="eastAsia" w:ascii="仿宋_GB2312" w:hAnsi="仿宋_GB2312" w:eastAsia="仿宋_GB2312" w:cs="仿宋_GB2312"/>
          <w:bCs/>
          <w:color w:val="auto"/>
          <w:sz w:val="32"/>
          <w:szCs w:val="32"/>
          <w:highlight w:val="none"/>
          <w:lang w:eastAsia="zh-CN"/>
        </w:rPr>
        <w:t>研发单位</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围绕优势研究领域，用好现有</w:t>
      </w:r>
      <w:r>
        <w:rPr>
          <w:rFonts w:hint="eastAsia" w:ascii="仿宋_GB2312" w:hAnsi="仿宋_GB2312" w:eastAsia="仿宋_GB2312" w:cs="仿宋_GB2312"/>
          <w:b w:val="0"/>
          <w:bCs w:val="0"/>
          <w:color w:val="auto"/>
          <w:sz w:val="32"/>
          <w:szCs w:val="32"/>
          <w:highlight w:val="none"/>
          <w:lang w:val="en-US" w:eastAsia="zh-CN"/>
        </w:rPr>
        <w:t>试验研发条件，开展常态化项目挖掘与验证</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支持龙头企业</w:t>
      </w:r>
      <w:r>
        <w:rPr>
          <w:rFonts w:hint="eastAsia" w:ascii="仿宋_GB2312" w:hAnsi="仿宋_GB2312" w:eastAsia="仿宋_GB2312" w:cs="仿宋_GB2312"/>
          <w:b w:val="0"/>
          <w:bCs w:val="0"/>
          <w:color w:val="auto"/>
          <w:sz w:val="32"/>
          <w:szCs w:val="32"/>
          <w:highlight w:val="none"/>
          <w:lang w:val="en-US" w:eastAsia="zh-CN"/>
        </w:rPr>
        <w:t>将概念验证纳入企业整体规划，</w:t>
      </w:r>
      <w:r>
        <w:rPr>
          <w:rFonts w:hint="eastAsia" w:ascii="仿宋_GB2312" w:hAnsi="仿宋_GB2312" w:eastAsia="仿宋_GB2312" w:cs="仿宋_GB2312"/>
          <w:b w:val="0"/>
          <w:bCs/>
          <w:color w:val="auto"/>
          <w:sz w:val="32"/>
          <w:szCs w:val="32"/>
          <w:highlight w:val="none"/>
          <w:lang w:val="en-US" w:eastAsia="zh-CN"/>
        </w:rPr>
        <w:t>汇集产业链上下游验证需求，</w:t>
      </w:r>
      <w:r>
        <w:rPr>
          <w:rFonts w:hint="eastAsia" w:ascii="仿宋_GB2312" w:hAnsi="仿宋_GB2312" w:eastAsia="仿宋_GB2312" w:cs="仿宋_GB2312"/>
          <w:b w:val="0"/>
          <w:bCs w:val="0"/>
          <w:color w:val="auto"/>
          <w:sz w:val="32"/>
          <w:szCs w:val="32"/>
          <w:highlight w:val="none"/>
          <w:lang w:val="en-US" w:eastAsia="zh-CN"/>
        </w:rPr>
        <w:t>开放企业真实产线及应用场景</w:t>
      </w:r>
      <w:r>
        <w:rPr>
          <w:rFonts w:hint="eastAsia" w:ascii="仿宋_GB2312" w:hAnsi="仿宋_GB2312" w:eastAsia="仿宋_GB2312" w:cs="仿宋_GB2312"/>
          <w:b w:val="0"/>
          <w:bCs/>
          <w:color w:val="auto"/>
          <w:sz w:val="32"/>
          <w:szCs w:val="32"/>
          <w:highlight w:val="none"/>
          <w:lang w:val="en-US" w:eastAsia="zh-CN"/>
        </w:rPr>
        <w:t>。支持孵化器、专业园区等</w:t>
      </w:r>
      <w:r>
        <w:rPr>
          <w:rFonts w:hint="eastAsia" w:ascii="仿宋_GB2312" w:hAnsi="仿宋_GB2312" w:eastAsia="仿宋_GB2312" w:cs="仿宋_GB2312"/>
          <w:bCs/>
          <w:color w:val="auto"/>
          <w:sz w:val="32"/>
          <w:szCs w:val="32"/>
          <w:highlight w:val="none"/>
          <w:lang w:val="en-US" w:eastAsia="zh-CN"/>
        </w:rPr>
        <w:t>将服务链条向转化早期阶段前移，开展成果挖掘、技术熟化、原型制备等业务</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重点</w:t>
      </w:r>
      <w:r>
        <w:rPr>
          <w:rFonts w:hint="eastAsia" w:ascii="仿宋_GB2312" w:hAnsi="仿宋_GB2312" w:eastAsia="仿宋_GB2312" w:cs="仿宋_GB2312"/>
          <w:b w:val="0"/>
          <w:bCs w:val="0"/>
          <w:color w:val="auto"/>
          <w:sz w:val="32"/>
          <w:szCs w:val="32"/>
          <w:highlight w:val="none"/>
          <w:lang w:val="en-US" w:eastAsia="zh-CN"/>
        </w:rPr>
        <w:t>支持独立法人机构，将概念验证作为核心业务，制定公开透明的</w:t>
      </w:r>
      <w:r>
        <w:rPr>
          <w:rFonts w:hint="eastAsia" w:ascii="FangSong_GB2312" w:hAnsi="Times New Roman" w:eastAsia="FangSong_GB2312" w:cs="FangSong_GB2312"/>
          <w:color w:val="auto"/>
          <w:sz w:val="32"/>
          <w:szCs w:val="32"/>
          <w:highlight w:val="none"/>
          <w:lang w:bidi="ar"/>
        </w:rPr>
        <w:t>对外服务承接程序</w:t>
      </w:r>
      <w:r>
        <w:rPr>
          <w:rFonts w:hint="eastAsia" w:ascii="FangSong_GB2312" w:hAnsi="Times New Roman" w:eastAsia="FangSong_GB2312" w:cs="FangSong_GB2312"/>
          <w:color w:val="auto"/>
          <w:sz w:val="32"/>
          <w:szCs w:val="32"/>
          <w:highlight w:val="none"/>
          <w:lang w:eastAsia="zh-CN" w:bidi="ar"/>
        </w:rPr>
        <w:t>、</w:t>
      </w:r>
      <w:r>
        <w:rPr>
          <w:rFonts w:hint="eastAsia" w:ascii="仿宋_GB2312" w:hAnsi="仿宋_GB2312" w:eastAsia="仿宋_GB2312" w:cs="仿宋_GB2312"/>
          <w:b w:val="0"/>
          <w:bCs w:val="0"/>
          <w:color w:val="auto"/>
          <w:sz w:val="32"/>
          <w:szCs w:val="32"/>
          <w:highlight w:val="none"/>
          <w:lang w:val="en-US" w:eastAsia="zh-CN"/>
        </w:rPr>
        <w:t>服务清单和收费标准。</w:t>
      </w:r>
    </w:p>
    <w:p w14:paraId="47524E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提升概念验证服务能力</w:t>
      </w:r>
    </w:p>
    <w:p w14:paraId="73D8FD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提升技术验证能力。</w:t>
      </w:r>
      <w:r>
        <w:rPr>
          <w:rFonts w:hint="eastAsia" w:ascii="仿宋_GB2312" w:hAnsi="仿宋_GB2312" w:eastAsia="仿宋_GB2312" w:cs="仿宋_GB2312"/>
          <w:b w:val="0"/>
          <w:bCs w:val="0"/>
          <w:color w:val="auto"/>
          <w:sz w:val="32"/>
          <w:szCs w:val="32"/>
          <w:highlight w:val="none"/>
          <w:lang w:val="en-US" w:eastAsia="zh-CN"/>
        </w:rPr>
        <w:t>支持各平台结合细分产业特点，制定</w:t>
      </w:r>
      <w:r>
        <w:rPr>
          <w:rFonts w:hint="eastAsia" w:ascii="仿宋_GB2312" w:hAnsi="仿宋_GB2312" w:eastAsia="仿宋_GB2312" w:cs="仿宋_GB2312"/>
          <w:color w:val="auto"/>
          <w:sz w:val="32"/>
          <w:szCs w:val="32"/>
          <w:highlight w:val="none"/>
          <w:lang w:val="en-US" w:eastAsia="zh-CN"/>
        </w:rPr>
        <w:t>技术成熟度评价标准和验证规范，</w:t>
      </w:r>
      <w:r>
        <w:rPr>
          <w:rFonts w:hint="eastAsia" w:ascii="仿宋_GB2312" w:hAnsi="仿宋_GB2312" w:eastAsia="仿宋_GB2312" w:cs="仿宋_GB2312"/>
          <w:b w:val="0"/>
          <w:bCs w:val="0"/>
          <w:color w:val="auto"/>
          <w:sz w:val="32"/>
          <w:szCs w:val="32"/>
          <w:highlight w:val="none"/>
          <w:lang w:val="en-US" w:eastAsia="zh-CN"/>
        </w:rPr>
        <w:t>组建技术开发团队，提升原理验证、原型验证、小试验证等服务能力。探索推动将概念验证平台服务纳入</w:t>
      </w:r>
      <w:r>
        <w:rPr>
          <w:rFonts w:hint="eastAsia" w:ascii="仿宋_GB2312" w:hAnsi="仿宋_GB2312" w:eastAsia="仿宋_GB2312" w:cs="仿宋_GB2312"/>
          <w:sz w:val="32"/>
          <w:szCs w:val="32"/>
          <w:highlight w:val="none"/>
        </w:rPr>
        <w:t>首都科技</w:t>
      </w:r>
      <w:r>
        <w:rPr>
          <w:rFonts w:hint="eastAsia" w:ascii="仿宋_GB2312" w:hAnsi="仿宋_GB2312" w:eastAsia="仿宋_GB2312" w:cs="仿宋_GB2312"/>
          <w:sz w:val="32"/>
          <w:szCs w:val="32"/>
          <w:highlight w:val="none"/>
          <w:lang w:val="en-US" w:eastAsia="zh-CN"/>
        </w:rPr>
        <w:t>创新券支持范围，</w:t>
      </w:r>
      <w:r>
        <w:rPr>
          <w:rFonts w:hint="eastAsia" w:ascii="仿宋_GB2312" w:hAnsi="仿宋_GB2312" w:eastAsia="仿宋_GB2312" w:cs="仿宋_GB2312"/>
          <w:b w:val="0"/>
          <w:bCs w:val="0"/>
          <w:color w:val="auto"/>
          <w:sz w:val="32"/>
          <w:szCs w:val="32"/>
          <w:highlight w:val="none"/>
          <w:lang w:val="en-US" w:eastAsia="zh-CN"/>
        </w:rPr>
        <w:t>符合条件的科技型中小微企业每年可使用的创新券额度</w:t>
      </w:r>
      <w:r>
        <w:rPr>
          <w:rFonts w:hint="eastAsia" w:ascii="仿宋_GB2312" w:hAnsi="仿宋_GB2312" w:eastAsia="仿宋_GB2312" w:cs="仿宋_GB2312"/>
          <w:b w:val="0"/>
          <w:bCs w:val="0"/>
          <w:color w:val="auto"/>
          <w:sz w:val="32"/>
          <w:szCs w:val="32"/>
          <w:highlight w:val="none"/>
        </w:rPr>
        <w:t>不超过</w:t>
      </w:r>
      <w:r>
        <w:rPr>
          <w:rFonts w:hint="eastAsia" w:ascii="仿宋_GB2312" w:hAnsi="仿宋_GB2312" w:eastAsia="仿宋_GB2312" w:cs="仿宋_GB2312"/>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highlight w:val="none"/>
        </w:rPr>
        <w:t>万元。</w:t>
      </w:r>
    </w:p>
    <w:p w14:paraId="7D360A4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提升商业验证能力。</w:t>
      </w:r>
      <w:r>
        <w:rPr>
          <w:rFonts w:hint="eastAsia" w:ascii="仿宋_GB2312" w:hAnsi="仿宋_GB2312" w:eastAsia="仿宋_GB2312" w:cs="仿宋_GB2312"/>
          <w:color w:val="auto"/>
          <w:sz w:val="32"/>
          <w:szCs w:val="32"/>
          <w:highlight w:val="none"/>
          <w:lang w:val="en-US" w:eastAsia="zh-CN"/>
        </w:rPr>
        <w:t>支持各平台制定项目商业化评价体系，对接创业孵化、投融资、产业链渠道等市场资源，提升</w:t>
      </w:r>
      <w:r>
        <w:rPr>
          <w:rFonts w:hint="eastAsia" w:ascii="仿宋_GB2312" w:hAnsi="仿宋_GB2312" w:eastAsia="仿宋_GB2312" w:cs="仿宋_GB2312"/>
          <w:color w:val="auto"/>
          <w:kern w:val="2"/>
          <w:sz w:val="32"/>
          <w:szCs w:val="32"/>
          <w:highlight w:val="none"/>
          <w:lang w:val="en-US" w:eastAsia="zh-CN" w:bidi="ar-SA"/>
        </w:rPr>
        <w:t>应用场景与需求验证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市场验证与竞争分析、成本验证与政策分析、商业模式设计</w:t>
      </w:r>
      <w:r>
        <w:rPr>
          <w:rFonts w:hint="eastAsia" w:ascii="仿宋_GB2312" w:hAnsi="仿宋_GB2312" w:eastAsia="仿宋_GB2312" w:cs="仿宋_GB2312"/>
          <w:color w:val="auto"/>
          <w:sz w:val="32"/>
          <w:szCs w:val="32"/>
          <w:highlight w:val="none"/>
          <w:lang w:val="en-US" w:eastAsia="zh-CN"/>
        </w:rPr>
        <w:t>等服务能力。强化技术经理人团队配备，为验证项目提供能力培育、资源对接、专业保障等支撑服务。</w:t>
      </w:r>
    </w:p>
    <w:p w14:paraId="07B1638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提升数智化服务能力。</w:t>
      </w:r>
      <w:r>
        <w:rPr>
          <w:rFonts w:hint="eastAsia" w:ascii="仿宋_GB2312" w:hAnsi="仿宋_GB2312" w:eastAsia="仿宋_GB2312" w:cs="仿宋_GB2312"/>
          <w:i w:val="0"/>
          <w:iCs w:val="0"/>
          <w:color w:val="auto"/>
          <w:sz w:val="32"/>
          <w:szCs w:val="32"/>
          <w:highlight w:val="none"/>
          <w:lang w:val="en-US" w:eastAsia="zh-CN"/>
        </w:rPr>
        <w:t>实施人工智能赋能科学研究高质量发展行动计划，</w:t>
      </w:r>
      <w:r>
        <w:rPr>
          <w:rFonts w:hint="eastAsia" w:ascii="仿宋_GB2312" w:hAnsi="仿宋_GB2312" w:eastAsia="仿宋_GB2312" w:cs="仿宋_GB2312"/>
          <w:color w:val="auto"/>
          <w:sz w:val="32"/>
          <w:szCs w:val="32"/>
          <w:highlight w:val="none"/>
          <w:lang w:val="en-US" w:eastAsia="zh-CN"/>
        </w:rPr>
        <w:t>支持各平台搭建数智化验证服务模块，运用AI技术赋能概念验证服务，提升技术仿真、参数优化、市场研判、场景匹配等关键环节验证效率，降低试验耗材、时间投入、迭代试错等各类验证成本。提升北京科技成果转化智能服务平台效能，</w:t>
      </w:r>
      <w:r>
        <w:rPr>
          <w:rFonts w:hint="eastAsia" w:ascii="仿宋_GB2312" w:hAnsi="仿宋_GB2312" w:eastAsia="仿宋_GB2312" w:cs="仿宋_GB2312"/>
          <w:color w:val="auto"/>
          <w:sz w:val="32"/>
          <w:szCs w:val="32"/>
          <w:highlight w:val="none"/>
        </w:rPr>
        <w:t>通过引入</w:t>
      </w:r>
      <w:r>
        <w:rPr>
          <w:rFonts w:hint="eastAsia" w:ascii="仿宋_GB2312" w:hAnsi="仿宋_GB2312" w:eastAsia="仿宋_GB2312" w:cs="仿宋_GB2312"/>
          <w:color w:val="auto"/>
          <w:sz w:val="32"/>
          <w:szCs w:val="32"/>
          <w:highlight w:val="none"/>
          <w:lang w:val="en-US" w:eastAsia="zh-CN"/>
        </w:rPr>
        <w:t>人工智能（AI）</w:t>
      </w:r>
      <w:r>
        <w:rPr>
          <w:rFonts w:hint="eastAsia" w:ascii="仿宋_GB2312" w:hAnsi="仿宋_GB2312" w:eastAsia="仿宋_GB2312" w:cs="仿宋_GB2312"/>
          <w:color w:val="auto"/>
          <w:sz w:val="32"/>
          <w:szCs w:val="32"/>
          <w:highlight w:val="none"/>
        </w:rPr>
        <w:t>匹配算法，</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产业领域、技术</w:t>
      </w:r>
      <w:r>
        <w:rPr>
          <w:rFonts w:hint="eastAsia" w:ascii="仿宋_GB2312" w:hAnsi="仿宋_GB2312" w:eastAsia="仿宋_GB2312" w:cs="仿宋_GB2312"/>
          <w:color w:val="auto"/>
          <w:sz w:val="32"/>
          <w:szCs w:val="32"/>
          <w:highlight w:val="none"/>
          <w:lang w:val="en-US" w:eastAsia="zh-CN"/>
        </w:rPr>
        <w:t>类型、</w:t>
      </w:r>
      <w:r>
        <w:rPr>
          <w:rFonts w:hint="eastAsia" w:ascii="仿宋_GB2312" w:hAnsi="仿宋_GB2312" w:eastAsia="仿宋_GB2312" w:cs="仿宋_GB2312"/>
          <w:color w:val="auto"/>
          <w:sz w:val="32"/>
          <w:szCs w:val="32"/>
          <w:highlight w:val="none"/>
        </w:rPr>
        <w:t>验证需求等供需</w:t>
      </w:r>
      <w:r>
        <w:rPr>
          <w:rFonts w:hint="eastAsia" w:ascii="仿宋_GB2312" w:hAnsi="仿宋_GB2312" w:eastAsia="仿宋_GB2312" w:cs="仿宋_GB2312"/>
          <w:color w:val="auto"/>
          <w:sz w:val="32"/>
          <w:szCs w:val="32"/>
          <w:highlight w:val="none"/>
          <w:lang w:eastAsia="zh-CN"/>
        </w:rPr>
        <w:t>匹配，</w:t>
      </w:r>
      <w:r>
        <w:rPr>
          <w:rFonts w:hint="eastAsia" w:ascii="仿宋_GB2312" w:hAnsi="仿宋_GB2312" w:eastAsia="仿宋_GB2312" w:cs="仿宋_GB2312"/>
          <w:color w:val="auto"/>
          <w:sz w:val="32"/>
          <w:szCs w:val="32"/>
          <w:highlight w:val="none"/>
          <w:lang w:val="en-US" w:eastAsia="zh-CN"/>
        </w:rPr>
        <w:t>支持各平台用好智能服务平台设备、专家、基金等各类资源。</w:t>
      </w:r>
    </w:p>
    <w:p w14:paraId="25508E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强化项目培育转化</w:t>
      </w:r>
    </w:p>
    <w:p w14:paraId="1314BA2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强化项目挖掘。</w:t>
      </w:r>
      <w:r>
        <w:rPr>
          <w:rFonts w:hint="eastAsia" w:ascii="仿宋_GB2312" w:hAnsi="仿宋_GB2312" w:eastAsia="仿宋_GB2312" w:cs="仿宋_GB2312"/>
          <w:color w:val="auto"/>
          <w:sz w:val="32"/>
          <w:szCs w:val="32"/>
          <w:highlight w:val="none"/>
        </w:rPr>
        <w:t>建立</w:t>
      </w:r>
      <w:r>
        <w:rPr>
          <w:rFonts w:hint="eastAsia" w:ascii="仿宋_GB2312" w:hAnsi="仿宋_GB2312" w:eastAsia="仿宋_GB2312" w:cs="仿宋_GB2312"/>
          <w:color w:val="auto"/>
          <w:sz w:val="32"/>
          <w:szCs w:val="32"/>
          <w:highlight w:val="none"/>
          <w:lang w:eastAsia="zh-CN"/>
        </w:rPr>
        <w:t>科技</w:t>
      </w:r>
      <w:r>
        <w:rPr>
          <w:rFonts w:hint="eastAsia" w:ascii="仿宋_GB2312" w:hAnsi="仿宋_GB2312" w:eastAsia="仿宋_GB2312" w:cs="仿宋_GB2312"/>
          <w:color w:val="auto"/>
          <w:sz w:val="32"/>
          <w:szCs w:val="32"/>
          <w:highlight w:val="none"/>
        </w:rPr>
        <w:t>成果供给机制，向市级概念验证平台开放国家</w:t>
      </w:r>
      <w:r>
        <w:rPr>
          <w:rFonts w:hint="eastAsia" w:ascii="仿宋_GB2312" w:hAnsi="仿宋_GB2312" w:eastAsia="仿宋_GB2312" w:cs="仿宋_GB2312"/>
          <w:color w:val="auto"/>
          <w:sz w:val="32"/>
          <w:szCs w:val="32"/>
          <w:highlight w:val="none"/>
          <w:lang w:eastAsia="zh-CN"/>
        </w:rPr>
        <w:t>和北京市</w:t>
      </w:r>
      <w:r>
        <w:rPr>
          <w:rFonts w:hint="eastAsia" w:ascii="仿宋_GB2312" w:hAnsi="仿宋_GB2312" w:eastAsia="仿宋_GB2312" w:cs="仿宋_GB2312"/>
          <w:color w:val="auto"/>
          <w:sz w:val="32"/>
          <w:szCs w:val="32"/>
          <w:highlight w:val="none"/>
        </w:rPr>
        <w:t>自然科学基金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重点实验室</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项目成果库，为平台提供源头成果资源。</w:t>
      </w:r>
      <w:r>
        <w:rPr>
          <w:rFonts w:hint="eastAsia" w:ascii="仿宋_GB2312" w:hAnsi="仿宋_GB2312" w:eastAsia="仿宋_GB2312" w:cs="仿宋_GB2312"/>
          <w:color w:val="auto"/>
          <w:sz w:val="32"/>
          <w:szCs w:val="32"/>
          <w:highlight w:val="none"/>
          <w:lang w:val="en-US" w:eastAsia="zh-CN"/>
        </w:rPr>
        <w:t>支持各平台建立概念验证项目库，按照领域、技术成熟度、市场潜在价值等进行分类、分级和动态管理，构建研发单位科技管理部门、细分领域重点实验室、细分成果研发课题组的项目挖掘</w:t>
      </w:r>
      <w:r>
        <w:rPr>
          <w:rFonts w:hint="eastAsia" w:ascii="仿宋_GB2312" w:hAnsi="仿宋_GB2312" w:eastAsia="仿宋_GB2312" w:cs="仿宋_GB2312"/>
          <w:color w:val="auto"/>
          <w:sz w:val="32"/>
          <w:szCs w:val="32"/>
          <w:highlight w:val="none"/>
        </w:rPr>
        <w:t>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团队定向挖掘、</w:t>
      </w:r>
      <w:r>
        <w:rPr>
          <w:rFonts w:hint="eastAsia" w:ascii="仿宋_GB2312" w:hAnsi="仿宋_GB2312" w:eastAsia="仿宋_GB2312" w:cs="仿宋_GB2312"/>
          <w:color w:val="auto"/>
          <w:sz w:val="32"/>
          <w:szCs w:val="32"/>
          <w:highlight w:val="none"/>
        </w:rPr>
        <w:t>专项调研、产业专题路演、高校联盟合作等形式</w:t>
      </w:r>
      <w:r>
        <w:rPr>
          <w:rFonts w:hint="eastAsia" w:ascii="仿宋_GB2312" w:hAnsi="仿宋_GB2312" w:eastAsia="仿宋_GB2312" w:cs="仿宋_GB2312"/>
          <w:color w:val="auto"/>
          <w:sz w:val="32"/>
          <w:szCs w:val="32"/>
          <w:highlight w:val="none"/>
          <w:lang w:val="en-US" w:eastAsia="zh-CN"/>
        </w:rPr>
        <w:t>拓宽项目挖掘渠道。</w:t>
      </w:r>
    </w:p>
    <w:p w14:paraId="4F24906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推动转化落地。</w:t>
      </w:r>
      <w:r>
        <w:rPr>
          <w:rFonts w:hint="eastAsia" w:ascii="仿宋_GB2312" w:hAnsi="仿宋_GB2312" w:eastAsia="仿宋_GB2312" w:cs="仿宋_GB2312"/>
          <w:color w:val="auto"/>
          <w:sz w:val="32"/>
          <w:szCs w:val="32"/>
          <w:highlight w:val="none"/>
          <w:lang w:val="en-US" w:eastAsia="zh-CN"/>
        </w:rPr>
        <w:t>支持各平台加强对验证项目“挖掘、筛选、验证、转化”的全程跟踪服务，为项目转化提供转化方案设计、专利布局、企业注册、园区对接、政策申请等服务。</w:t>
      </w:r>
      <w:r>
        <w:rPr>
          <w:rFonts w:hint="eastAsia" w:ascii="仿宋_GB2312" w:hAnsi="仿宋_GB2312" w:eastAsia="仿宋_GB2312" w:cs="仿宋_GB2312"/>
          <w:b w:val="0"/>
          <w:bCs w:val="0"/>
          <w:color w:val="auto"/>
          <w:sz w:val="32"/>
          <w:szCs w:val="32"/>
          <w:highlight w:val="none"/>
          <w:lang w:val="en-US" w:eastAsia="zh-CN"/>
        </w:rPr>
        <w:t>根据平台年度开展项目挖掘、验证熟化、创办企业、转化落地（技术转让、许可、作价投资）的项目数量和质量等情况择优给予不超过500万元的资金支持。对于符合条件的优质项目，特别是新创办企业的项目，可由概念验证平台推荐，通过市区协同拨投联动机制</w:t>
      </w:r>
      <w:r>
        <w:rPr>
          <w:rFonts w:hint="eastAsia" w:ascii="仿宋_GB2312" w:hAnsi="仿宋_GB2312" w:eastAsia="仿宋_GB2312" w:cs="仿宋_GB2312"/>
          <w:color w:val="000000"/>
          <w:sz w:val="32"/>
          <w:szCs w:val="40"/>
          <w:highlight w:val="none"/>
        </w:rPr>
        <w:t>给予不超过200万元</w:t>
      </w:r>
      <w:r>
        <w:rPr>
          <w:rFonts w:hint="eastAsia" w:ascii="仿宋_GB2312" w:hAnsi="仿宋_GB2312" w:eastAsia="仿宋_GB2312" w:cs="仿宋_GB2312"/>
          <w:color w:val="000000"/>
          <w:sz w:val="32"/>
          <w:szCs w:val="40"/>
          <w:highlight w:val="none"/>
          <w:lang w:eastAsia="zh-CN"/>
        </w:rPr>
        <w:t>的</w:t>
      </w:r>
      <w:r>
        <w:rPr>
          <w:rFonts w:hint="eastAsia" w:ascii="仿宋_GB2312" w:hAnsi="仿宋_GB2312" w:eastAsia="仿宋_GB2312" w:cs="仿宋_GB2312"/>
          <w:color w:val="000000"/>
          <w:sz w:val="32"/>
          <w:szCs w:val="40"/>
          <w:highlight w:val="none"/>
        </w:rPr>
        <w:t>资金支持</w:t>
      </w:r>
      <w:r>
        <w:rPr>
          <w:rFonts w:hint="eastAsia" w:ascii="仿宋_GB2312" w:hAnsi="仿宋_GB2312" w:eastAsia="仿宋_GB2312" w:cs="仿宋_GB2312"/>
          <w:color w:val="000000"/>
          <w:sz w:val="32"/>
          <w:szCs w:val="40"/>
          <w:highlight w:val="none"/>
          <w:lang w:eastAsia="zh-CN"/>
        </w:rPr>
        <w:t>，助力项目企业早期成长和持续发展</w:t>
      </w:r>
      <w:r>
        <w:rPr>
          <w:rFonts w:hint="eastAsia" w:ascii="仿宋_GB2312" w:hAnsi="仿宋_GB2312" w:eastAsia="仿宋_GB2312" w:cs="仿宋_GB2312"/>
          <w:b w:val="0"/>
          <w:bCs w:val="0"/>
          <w:color w:val="auto"/>
          <w:sz w:val="32"/>
          <w:szCs w:val="32"/>
          <w:highlight w:val="none"/>
          <w:lang w:val="en-US" w:eastAsia="zh-CN"/>
        </w:rPr>
        <w:t>。</w:t>
      </w:r>
    </w:p>
    <w:p w14:paraId="444405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加强配套要素保障</w:t>
      </w:r>
    </w:p>
    <w:p w14:paraId="0D31191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加强金融创新支持。</w:t>
      </w:r>
      <w:r>
        <w:rPr>
          <w:rFonts w:hint="eastAsia" w:ascii="仿宋_GB2312" w:hAnsi="仿宋_GB2312" w:eastAsia="仿宋_GB2312" w:cs="仿宋_GB2312"/>
          <w:color w:val="auto"/>
          <w:sz w:val="32"/>
          <w:szCs w:val="32"/>
          <w:highlight w:val="none"/>
          <w:lang w:val="en-US" w:eastAsia="zh-CN"/>
        </w:rPr>
        <w:t>支持各平台</w:t>
      </w:r>
      <w:r>
        <w:rPr>
          <w:rFonts w:hint="eastAsia" w:ascii="仿宋_GB2312" w:hAnsi="仿宋_GB2312" w:eastAsia="仿宋_GB2312" w:cs="仿宋_GB2312"/>
          <w:sz w:val="32"/>
          <w:szCs w:val="32"/>
          <w:highlight w:val="none"/>
        </w:rPr>
        <w:t>探索建立概念验证风险分担机制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lang w:val="en-US" w:eastAsia="zh-CN"/>
        </w:rPr>
        <w:t>设立概念验证基金，</w:t>
      </w:r>
      <w:r>
        <w:rPr>
          <w:rFonts w:hint="eastAsia" w:ascii="仿宋_GB2312" w:hAnsi="仿宋_GB2312" w:eastAsia="仿宋_GB2312" w:cs="仿宋_GB2312"/>
          <w:b w:val="0"/>
          <w:bCs w:val="0"/>
          <w:color w:val="auto"/>
          <w:sz w:val="32"/>
          <w:szCs w:val="32"/>
          <w:highlight w:val="none"/>
          <w:lang w:val="en-US" w:eastAsia="zh-CN"/>
        </w:rPr>
        <w:t>探索“先验证后投资”“服务换股权”“孵化跟投”等运营模式，引导金融机构开发适配概念验证特点的金融产品</w:t>
      </w:r>
      <w:r>
        <w:rPr>
          <w:rFonts w:hint="eastAsia" w:ascii="仿宋_GB2312" w:hAnsi="仿宋_GB2312" w:eastAsia="仿宋_GB2312" w:cs="仿宋_GB2312"/>
          <w:color w:val="auto"/>
          <w:sz w:val="32"/>
          <w:szCs w:val="32"/>
          <w:highlight w:val="none"/>
          <w:lang w:val="en-US" w:eastAsia="zh-CN"/>
        </w:rPr>
        <w:t>。</w:t>
      </w:r>
    </w:p>
    <w:p w14:paraId="5746E4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加强人才队伍建设。</w:t>
      </w:r>
      <w:r>
        <w:rPr>
          <w:rFonts w:hint="eastAsia" w:ascii="Times New Roman" w:hAnsi="Times New Roman" w:eastAsia="仿宋_GB2312" w:cs="Times New Roman"/>
          <w:color w:val="auto"/>
          <w:w w:val="100"/>
          <w:sz w:val="32"/>
          <w:szCs w:val="32"/>
          <w:highlight w:val="none"/>
          <w:lang w:val="en-US" w:eastAsia="zh-CN"/>
        </w:rPr>
        <w:t>鼓励平台与研发单位、企业联合培养专业化技术经理人，完善技术转移人才能力评价规范，加强相关培训课程设置，引导培育概念验证专业技术经理人团队</w:t>
      </w:r>
      <w:r>
        <w:rPr>
          <w:rFonts w:hint="eastAsia" w:ascii="仿宋_GB2312" w:hAnsi="仿宋_GB2312" w:eastAsia="仿宋_GB2312" w:cs="仿宋_GB2312"/>
          <w:color w:val="auto"/>
          <w:sz w:val="32"/>
          <w:szCs w:val="32"/>
          <w:highlight w:val="none"/>
          <w:lang w:val="en-US" w:eastAsia="zh-CN"/>
        </w:rPr>
        <w:t>。鼓励</w:t>
      </w:r>
      <w:r>
        <w:rPr>
          <w:rFonts w:hint="eastAsia" w:eastAsia="仿宋_GB2312" w:cs="Times New Roman"/>
          <w:color w:val="auto"/>
          <w:w w:val="100"/>
          <w:sz w:val="32"/>
          <w:szCs w:val="32"/>
          <w:highlight w:val="none"/>
          <w:lang w:val="en-US" w:eastAsia="zh-CN"/>
        </w:rPr>
        <w:t>平台建立市场化激励机制，面向全球招引</w:t>
      </w:r>
      <w:r>
        <w:rPr>
          <w:rFonts w:hint="default" w:ascii="Times New Roman" w:hAnsi="Times New Roman" w:eastAsia="仿宋_GB2312" w:cs="Times New Roman"/>
          <w:color w:val="auto"/>
          <w:w w:val="100"/>
          <w:sz w:val="32"/>
          <w:szCs w:val="32"/>
          <w:highlight w:val="none"/>
          <w:lang w:val="en-US" w:eastAsia="zh-CN"/>
        </w:rPr>
        <w:t>高级管理人才</w:t>
      </w:r>
      <w:r>
        <w:rPr>
          <w:rFonts w:hint="eastAsia" w:ascii="Times New Roman" w:hAnsi="Times New Roman" w:eastAsia="仿宋_GB2312" w:cs="Times New Roman"/>
          <w:color w:val="auto"/>
          <w:w w:val="100"/>
          <w:sz w:val="32"/>
          <w:szCs w:val="32"/>
          <w:highlight w:val="none"/>
          <w:lang w:val="en-US" w:eastAsia="zh-CN"/>
        </w:rPr>
        <w:t>。将优秀技术经理人纳入市区人才支持政策体系。</w:t>
      </w:r>
    </w:p>
    <w:p w14:paraId="3CEF9E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加强应用场景开放。</w:t>
      </w:r>
      <w:r>
        <w:rPr>
          <w:rFonts w:hint="eastAsia" w:ascii="仿宋_GB2312" w:hAnsi="仿宋_GB2312" w:eastAsia="仿宋_GB2312" w:cs="仿宋_GB2312"/>
          <w:b w:val="0"/>
          <w:bCs w:val="0"/>
          <w:color w:val="auto"/>
          <w:sz w:val="32"/>
          <w:szCs w:val="32"/>
          <w:highlight w:val="none"/>
          <w:lang w:val="en-US" w:eastAsia="zh-CN"/>
        </w:rPr>
        <w:t>梳理</w:t>
      </w:r>
      <w:r>
        <w:rPr>
          <w:rFonts w:hint="eastAsia" w:ascii="仿宋_GB2312" w:hAnsi="仿宋_GB2312" w:eastAsia="仿宋_GB2312" w:cs="仿宋_GB2312"/>
          <w:color w:val="auto"/>
          <w:sz w:val="32"/>
          <w:szCs w:val="32"/>
          <w:highlight w:val="none"/>
        </w:rPr>
        <w:t>概念验证场景清单</w:t>
      </w:r>
      <w:r>
        <w:rPr>
          <w:rFonts w:hint="eastAsia" w:ascii="仿宋_GB2312" w:hAnsi="仿宋_GB2312" w:eastAsia="仿宋_GB2312" w:cs="仿宋_GB2312"/>
          <w:color w:val="auto"/>
          <w:sz w:val="32"/>
          <w:szCs w:val="32"/>
          <w:highlight w:val="none"/>
          <w:lang w:eastAsia="zh-CN"/>
        </w:rPr>
        <w:t>，</w:t>
      </w:r>
      <w:r>
        <w:rPr>
          <w:rFonts w:hint="eastAsia" w:ascii="Calibri" w:hAnsi="Calibri" w:eastAsia="仿宋_GB2312" w:cs="Times New Roman"/>
          <w:b w:val="0"/>
          <w:bCs w:val="0"/>
          <w:color w:val="auto"/>
          <w:kern w:val="2"/>
          <w:sz w:val="32"/>
          <w:szCs w:val="32"/>
          <w:highlight w:val="none"/>
        </w:rPr>
        <w:t>整合政府部门、国有企业、龙头企业、产业园区等各类主体的场景开放资源，鼓励联合开展场景项目方案设计和成果适配应用。</w:t>
      </w:r>
    </w:p>
    <w:p w14:paraId="18D8F1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3" w:firstLineChars="200"/>
        <w:jc w:val="left"/>
        <w:textAlignment w:val="auto"/>
      </w:pPr>
      <w:r>
        <w:rPr>
          <w:rFonts w:hint="eastAsia" w:ascii="仿宋_GB2312" w:hAnsi="仿宋_GB2312" w:eastAsia="仿宋_GB2312" w:cs="仿宋_GB2312"/>
          <w:b/>
          <w:bCs/>
          <w:color w:val="auto"/>
          <w:sz w:val="32"/>
          <w:szCs w:val="32"/>
          <w:highlight w:val="none"/>
          <w:lang w:val="en-US" w:eastAsia="zh-CN"/>
        </w:rPr>
        <w:t>加强政策宣传引导。</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加强概念验证平台政策解读，总结典型平台和项目案例，发挥中关村论坛等平台作用，组织开展沙龙、论坛等形式</w:t>
      </w:r>
      <w:r>
        <w:rPr>
          <w:rFonts w:hint="eastAsia" w:ascii="仿宋_GB2312" w:hAnsi="仿宋_GB2312" w:eastAsia="仿宋_GB2312" w:cs="仿宋_GB2312"/>
          <w:i w:val="0"/>
          <w:iCs w:val="0"/>
          <w:caps w:val="0"/>
          <w:color w:val="auto"/>
          <w:spacing w:val="0"/>
          <w:sz w:val="32"/>
          <w:szCs w:val="32"/>
          <w:highlight w:val="none"/>
          <w:shd w:val="clear" w:color="auto" w:fill="auto"/>
        </w:rPr>
        <w:t>概念验证</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创新交流活动，及时宣传平台建设工作的新进展、新经验、新模式、新成效，</w:t>
      </w:r>
      <w:r>
        <w:rPr>
          <w:rFonts w:hint="eastAsia" w:ascii="仿宋_GB2312" w:hAnsi="仿宋_GB2312" w:eastAsia="仿宋_GB2312" w:cs="仿宋_GB2312"/>
          <w:i w:val="0"/>
          <w:iCs w:val="0"/>
          <w:caps w:val="0"/>
          <w:color w:val="auto"/>
          <w:spacing w:val="0"/>
          <w:sz w:val="32"/>
          <w:szCs w:val="32"/>
          <w:highlight w:val="none"/>
          <w:shd w:val="clear" w:color="auto" w:fill="auto"/>
        </w:rPr>
        <w:t>营造</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概念验证服务能力提升和概念验证平台建设的</w:t>
      </w:r>
      <w:r>
        <w:rPr>
          <w:rFonts w:hint="eastAsia" w:ascii="仿宋_GB2312" w:hAnsi="仿宋_GB2312" w:eastAsia="仿宋_GB2312" w:cs="仿宋_GB2312"/>
          <w:i w:val="0"/>
          <w:iCs w:val="0"/>
          <w:caps w:val="0"/>
          <w:color w:val="auto"/>
          <w:spacing w:val="0"/>
          <w:sz w:val="32"/>
          <w:szCs w:val="32"/>
          <w:highlight w:val="none"/>
          <w:shd w:val="clear" w:color="auto" w:fill="auto"/>
        </w:rPr>
        <w:t>良好氛围。</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DE5F">
    <w:pPr>
      <w:pStyle w:val="2"/>
      <w:keepNext w:val="0"/>
      <w:keepLines w:val="0"/>
      <w:pageBreakBefore w:val="0"/>
      <w:framePr w:wrap="around" w:vAnchor="text" w:hAnchor="margin" w:xAlign="outside" w:y="1"/>
      <w:widowControl w:val="0"/>
      <w:kinsoku/>
      <w:wordWrap/>
      <w:overflowPunct/>
      <w:topLinePunct w:val="0"/>
      <w:autoSpaceDE/>
      <w:autoSpaceDN/>
      <w:bidi w:val="0"/>
      <w:adjustRightInd/>
      <w:snapToGrid w:val="0"/>
      <w:ind w:right="210" w:rightChars="100"/>
      <w:textAlignment w:val="auto"/>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- 2 -</w:t>
    </w:r>
    <w:r>
      <w:rPr>
        <w:rStyle w:val="9"/>
        <w:rFonts w:hint="eastAsia" w:ascii="宋体" w:hAnsi="宋体" w:eastAsia="宋体" w:cs="宋体"/>
        <w:sz w:val="28"/>
        <w:szCs w:val="28"/>
      </w:rPr>
      <w:fldChar w:fldCharType="end"/>
    </w:r>
  </w:p>
  <w:p w14:paraId="511ED5FC">
    <w:pPr>
      <w:pStyle w:val="2"/>
      <w:keepNext w:val="0"/>
      <w:keepLines w:val="0"/>
      <w:pageBreakBefore w:val="0"/>
      <w:widowControl w:val="0"/>
      <w:kinsoku/>
      <w:wordWrap/>
      <w:overflowPunct/>
      <w:topLinePunct w:val="0"/>
      <w:autoSpaceDE/>
      <w:autoSpaceDN/>
      <w:bidi w:val="0"/>
      <w:adjustRightInd/>
      <w:snapToGrid w:val="0"/>
      <w:ind w:right="210" w:rightChars="100" w:firstLine="360"/>
      <w:textAlignment w:val="auto"/>
      <w:rPr>
        <w:rFonts w:hint="eastAsia"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B5433"/>
    <w:multiLevelType w:val="singleLevel"/>
    <w:tmpl w:val="BA4B5433"/>
    <w:lvl w:ilvl="0" w:tentative="0">
      <w:start w:val="1"/>
      <w:numFmt w:val="decimal"/>
      <w:suff w:val="nothing"/>
      <w:lvlText w:val="%1."/>
      <w:lvlJc w:val="left"/>
      <w:rPr>
        <w:rFonts w:hint="default" w:ascii="仿宋_GB2312" w:hAnsi="仿宋_GB2312" w:eastAsia="仿宋_GB2312" w:cs="仿宋_GB2312"/>
        <w:b/>
        <w:bCs/>
        <w:sz w:val="32"/>
        <w:szCs w:val="32"/>
      </w:rPr>
    </w:lvl>
  </w:abstractNum>
  <w:abstractNum w:abstractNumId="1">
    <w:nsid w:val="D346671F"/>
    <w:multiLevelType w:val="singleLevel"/>
    <w:tmpl w:val="D34667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35D00"/>
    <w:rsid w:val="37535D00"/>
    <w:rsid w:val="648E02DF"/>
    <w:rsid w:val="65D0203F"/>
    <w:rsid w:val="69736FF8"/>
    <w:rsid w:val="6C3C157F"/>
    <w:rsid w:val="76E0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before="340" w:after="330" w:line="578" w:lineRule="auto"/>
      <w:jc w:val="center"/>
      <w:outlineLvl w:val="0"/>
    </w:pPr>
    <w:rPr>
      <w:rFonts w:ascii="Times New Roman" w:hAnsi="Times New Roman" w:eastAsia="方正小标宋_GBK" w:cs="Times New Roman"/>
      <w:bCs/>
      <w:kern w:val="44"/>
      <w:sz w:val="4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qFormat/>
    <w:uiPriority w:val="0"/>
    <w:pPr>
      <w:widowControl w:val="0"/>
      <w:ind w:firstLine="640"/>
      <w:jc w:val="both"/>
    </w:pPr>
    <w:rPr>
      <w:rFonts w:ascii="Calibri" w:hAnsi="Calibri" w:eastAsia="宋体" w:cs="Times New Roman"/>
      <w:kern w:val="2"/>
      <w:sz w:val="21"/>
      <w:szCs w:val="24"/>
      <w:lang w:val="en-US" w:eastAsia="zh-CN" w:bidi="ar-SA"/>
    </w:rPr>
  </w:style>
  <w:style w:type="paragraph" w:styleId="6">
    <w:name w:val="Normal (Web)"/>
    <w:qFormat/>
    <w:uiPriority w:val="0"/>
    <w:pPr>
      <w:widowControl/>
      <w:spacing w:before="100" w:beforeAutospacing="1" w:after="119"/>
      <w:ind w:firstLine="420"/>
      <w:jc w:val="both"/>
    </w:pPr>
    <w:rPr>
      <w:rFonts w:ascii="宋体" w:hAnsi="宋体" w:eastAsia="宋体" w:cs="宋体"/>
      <w:kern w:val="0"/>
      <w:sz w:val="20"/>
      <w:szCs w:val="20"/>
      <w:lang w:val="en-US" w:eastAsia="zh-CN" w:bidi="ar-SA"/>
    </w:r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2098</Words>
  <Characters>2113</Characters>
  <Lines>0</Lines>
  <Paragraphs>0</Paragraphs>
  <TotalTime>21</TotalTime>
  <ScaleCrop>false</ScaleCrop>
  <LinksUpToDate>false</LinksUpToDate>
  <CharactersWithSpaces>2113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2026-02-27T10:36:00Z</dcterms:created>
  <dc:creator>金豆</dc:creator>
  <cp:lastModifiedBy>金豆</cp:lastModifiedBy>
  <cp:lastPrinted>2026-03-02T01:57:00Z</cp:lastPrinted>
  <dcterms:modified xsi:type="dcterms:W3CDTF">2026-03-02T04:41:12Z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FA5D1DFEBB35490D8BDC100989C0883B_11</vt:lpwstr>
  </property>
  <property fmtid="{D5CDD505-2E9C-101B-9397-08002B2CF9AE}" pid="4" name="KSOTemplateDocerSaveRecord">
    <vt:lpwstr>eyJoZGlkIjoiNWIyOTk5ODNiZmQ5MTliN2FhZDZlZmIzMDQyNTA1YjAiLCJ1c2VySWQiOiI0MjQ0NjgyODgifQ==</vt:lpwstr>
  </property>
</Properties>
</file>