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1E2C9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一图读懂《建筑保温材料行业规范条件（2025年本）》</w:t>
      </w:r>
    </w:p>
    <w:bookmarkEnd w:id="0"/>
    <w:p w14:paraId="5944D135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发布时间：2026-01-22 11:17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来源：原材料工业司</w:t>
      </w:r>
    </w:p>
    <w:p w14:paraId="59D1C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76800" cy="8391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7419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743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105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191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2324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3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https://www.miit.gov.cn/zwgk/zcjd/art/2026/art_5b394fb12f16445892b4a4bbea62c893.html</w:t>
      </w:r>
    </w:p>
    <w:p w14:paraId="53516B93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147DE8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2026-01-22T09:45:50Z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2052-12.1.0.25186</vt:lpwstr>
  </property>
  <property fmtid="{D5CDD505-2E9C-101B-9397-08002B2CF9AE}" pid="3" name="ICV">
    <vt:lpwstr>6F6F0BE9B57D423BA867EE2E6C0DF05C_13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