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816BB">
      <w:pPr>
        <w:pStyle w:val="10"/>
        <w:bidi w:val="0"/>
        <w:rPr>
          <w:rFonts w:hint="default"/>
          <w:lang w:val="en-US" w:eastAsia="zh-CN"/>
        </w:rPr>
      </w:pPr>
      <w:r>
        <w:rPr>
          <w:rFonts w:hint="default"/>
          <w:lang w:val="en-US" w:eastAsia="zh-CN"/>
        </w:rPr>
        <w:t>《新能源汽车废旧动力电池回收和综合利用管理暂行办法》解读</w:t>
      </w:r>
    </w:p>
    <w:p w14:paraId="6BB0217E">
      <w:pPr>
        <w:pStyle w:val="8"/>
        <w:bidi w:val="0"/>
        <w:rPr>
          <w:rFonts w:hint="default"/>
          <w:lang w:val="en-US" w:eastAsia="zh-CN"/>
        </w:rPr>
      </w:pPr>
      <w:r>
        <w:rPr>
          <w:rFonts w:hint="default"/>
          <w:lang w:val="en-US" w:eastAsia="zh-CN"/>
        </w:rPr>
        <w:t>发布时间：2026-01-16 11:00</w:t>
      </w:r>
      <w:r>
        <w:rPr>
          <w:rFonts w:hint="eastAsia"/>
          <w:lang w:val="en-US" w:eastAsia="zh-CN"/>
        </w:rPr>
        <w:t xml:space="preserve">                         </w:t>
      </w:r>
      <w:r>
        <w:rPr>
          <w:rFonts w:hint="default"/>
          <w:lang w:val="en-US" w:eastAsia="zh-CN"/>
        </w:rPr>
        <w:t>来源：产业政策与法规司</w:t>
      </w:r>
    </w:p>
    <w:p w14:paraId="4F11E65E">
      <w:pPr>
        <w:ind w:firstLine="560" w:firstLineChars="200"/>
        <w:rPr>
          <w:rFonts w:hint="default"/>
          <w:lang w:val="en-US" w:eastAsia="zh-CN"/>
        </w:rPr>
      </w:pPr>
      <w:r>
        <w:rPr>
          <w:rFonts w:hint="default"/>
          <w:lang w:val="en-US" w:eastAsia="zh-CN"/>
        </w:rPr>
        <w:t>近日，工业和信息化部与国家发展改革委、生态环境部、交通运输部、商务部、市场监管总局联合公布《新能源汽车废旧动力电池回收和综合利用管理暂行办法》（工业和信息化部、国家发展和改革委员会、生态环境部、交通运输部、商务部、国家市场监督管理总局令第73号，以下简称《办法》）。为了更好地理解和执行《办法》，工业和信息化部产业政策与法规司负责同志对《办法》进行了解读。</w:t>
      </w:r>
    </w:p>
    <w:p w14:paraId="5F20BDDE">
      <w:pPr>
        <w:pStyle w:val="2"/>
        <w:bidi w:val="0"/>
        <w:rPr>
          <w:rFonts w:hint="default"/>
          <w:lang w:val="en-US" w:eastAsia="zh-CN"/>
        </w:rPr>
      </w:pPr>
      <w:r>
        <w:rPr>
          <w:rFonts w:hint="default"/>
          <w:lang w:val="en-US" w:eastAsia="zh-CN"/>
        </w:rPr>
        <w:t>问：《办法》制定的背景是什么？</w:t>
      </w:r>
    </w:p>
    <w:p w14:paraId="4201A21B">
      <w:pPr>
        <w:ind w:firstLine="560" w:firstLineChars="200"/>
        <w:rPr>
          <w:rFonts w:hint="default"/>
          <w:lang w:val="en-US" w:eastAsia="zh-CN"/>
        </w:rPr>
      </w:pPr>
      <w:r>
        <w:rPr>
          <w:rFonts w:hint="default"/>
          <w:lang w:val="en-US" w:eastAsia="zh-CN"/>
        </w:rPr>
        <w:t>答：2018年以来，工业和信息化部先后会同有关部门联合印发《新能源汽车动力蓄电池回收利用管理暂行办法》《新能源汽车动力蓄电池回收利用溯源管理暂行规定》等文件，在鼓励引导废旧动力电池回收利用体系建设、加强溯源管理和综合利用等方面发挥了重要作用。近年来，随着新能源汽车产业快速发展，新能源汽车动力电池进入规模化退役阶段，需要进一步规范废旧动力电池回收和综合利用活动。党中央、国务院高度重视废旧动力电池回收和综合利用工作。2025年2月，国务院办公厅印发了《健全新能源汽车动力电池回收利用体系行动方案》（以下简称《行动方案》），要求加快制定相关法规规章，用法治化手段规范回收利用。为落实《行动方案》工作部署，加强废旧动力电池回收和综合利用管理，工业和信息化部会同有关部门制定了《办法》。</w:t>
      </w:r>
    </w:p>
    <w:p w14:paraId="64C93ED9">
      <w:pPr>
        <w:pStyle w:val="2"/>
        <w:bidi w:val="0"/>
        <w:rPr>
          <w:rFonts w:hint="default"/>
          <w:lang w:val="en-US" w:eastAsia="zh-CN"/>
        </w:rPr>
      </w:pPr>
      <w:r>
        <w:rPr>
          <w:rFonts w:hint="default"/>
          <w:lang w:val="en-US" w:eastAsia="zh-CN"/>
        </w:rPr>
        <w:t>问：《办法》制定过程中，主要开展了哪些工作？</w:t>
      </w:r>
    </w:p>
    <w:p w14:paraId="15ABDCAF">
      <w:pPr>
        <w:ind w:firstLine="560" w:firstLineChars="200"/>
        <w:rPr>
          <w:rFonts w:hint="default"/>
          <w:lang w:val="en-US" w:eastAsia="zh-CN"/>
        </w:rPr>
      </w:pPr>
      <w:r>
        <w:rPr>
          <w:rFonts w:hint="default"/>
          <w:lang w:val="en-US" w:eastAsia="zh-CN"/>
        </w:rPr>
        <w:t>答：在制定过程中，主要开展了以下工作：一是梳理现行有关法律法规和政策文件，聚焦行业发展中的突出问题，充分听取有关部门、企事业单位的意见，研究形成《办法（征求意见稿）》。二是多次书面征求国务院有关部门、地方工业和信息化主管部门、有关企业意见，并向社会公开征求意见。三是认真吸纳研究相关意见，形成《办法（草案）》。2025年10月30日，工业和信息化部部务会议审议通过了《办法（草案）》。</w:t>
      </w:r>
    </w:p>
    <w:p w14:paraId="29C6F32D">
      <w:pPr>
        <w:pStyle w:val="2"/>
        <w:bidi w:val="0"/>
        <w:rPr>
          <w:rFonts w:hint="default"/>
          <w:lang w:val="en-US" w:eastAsia="zh-CN"/>
        </w:rPr>
      </w:pPr>
      <w:r>
        <w:rPr>
          <w:rFonts w:hint="default"/>
          <w:lang w:val="en-US" w:eastAsia="zh-CN"/>
        </w:rPr>
        <w:t>问：《办法》的主要内容有哪些？</w:t>
      </w:r>
    </w:p>
    <w:p w14:paraId="27E64F74">
      <w:pPr>
        <w:ind w:firstLine="560" w:firstLineChars="200"/>
        <w:rPr>
          <w:rFonts w:hint="default"/>
          <w:lang w:val="en-US" w:eastAsia="zh-CN"/>
        </w:rPr>
      </w:pPr>
      <w:r>
        <w:rPr>
          <w:rFonts w:hint="default"/>
          <w:lang w:val="en-US" w:eastAsia="zh-CN"/>
        </w:rPr>
        <w:t>答：《办法》坚持问题导向，聚焦废旧动力电池回收、综合利用以及相关活动，重点规定了以下内容：</w:t>
      </w:r>
    </w:p>
    <w:p w14:paraId="2A4DEA15">
      <w:pPr>
        <w:ind w:firstLine="562" w:firstLineChars="200"/>
        <w:rPr>
          <w:rFonts w:hint="default"/>
          <w:lang w:val="en-US" w:eastAsia="zh-CN"/>
        </w:rPr>
      </w:pPr>
      <w:r>
        <w:rPr>
          <w:rStyle w:val="28"/>
          <w:rFonts w:hint="default"/>
          <w:lang w:val="en-US" w:eastAsia="zh-CN"/>
        </w:rPr>
        <w:t>（一）加强动力电池信息溯源管理。</w:t>
      </w:r>
      <w:r>
        <w:rPr>
          <w:rFonts w:hint="default"/>
          <w:lang w:val="en-US" w:eastAsia="zh-CN"/>
        </w:rPr>
        <w:t>一是明确工业和信息化部会同国务院有关部门建立全国新能源汽车动力电池溯源信息平台，推进动力电池全生命周期的流向监控和信息化追溯。二是规定动力电池企业应当按照有关国家标准，对其生产或者进口的动力电池进行编码并粘贴标识。三是规定动力电池企业、新能源汽车生产企业等主体应当及时通过信息平台报送相关信息。四是明确信息平台应当依法履行网络安全、数据安全保护义务。</w:t>
      </w:r>
    </w:p>
    <w:p w14:paraId="6B372653">
      <w:pPr>
        <w:ind w:firstLine="562" w:firstLineChars="200"/>
        <w:rPr>
          <w:rFonts w:hint="default"/>
          <w:lang w:val="en-US" w:eastAsia="zh-CN"/>
        </w:rPr>
      </w:pPr>
      <w:r>
        <w:rPr>
          <w:rStyle w:val="28"/>
          <w:rFonts w:hint="default"/>
          <w:lang w:val="en-US" w:eastAsia="zh-CN"/>
        </w:rPr>
        <w:t>（二）加强废旧动力电池回收管理。</w:t>
      </w:r>
      <w:r>
        <w:rPr>
          <w:rFonts w:hint="default"/>
          <w:lang w:val="en-US" w:eastAsia="zh-CN"/>
        </w:rPr>
        <w:t>一是明确动力电池企业、新能源汽车生产企业应当承担的回收责任。二是规定建设回收服务网点应当符合城乡建设规划、环境保护、安全生产等法律、行政法规和强制性标准的规定。三是规定动力电池企业、新能源汽车生产企业、报废机动车回收拆解企业等主体，应当规范移交废旧动力电池。</w:t>
      </w:r>
    </w:p>
    <w:p w14:paraId="1B59AC25">
      <w:pPr>
        <w:ind w:firstLine="562" w:firstLineChars="200"/>
        <w:rPr>
          <w:rFonts w:hint="default"/>
          <w:lang w:val="en-US" w:eastAsia="zh-CN"/>
        </w:rPr>
      </w:pPr>
      <w:r>
        <w:rPr>
          <w:rStyle w:val="28"/>
          <w:rFonts w:hint="default"/>
          <w:lang w:val="en-US" w:eastAsia="zh-CN"/>
        </w:rPr>
        <w:t>（三）加强废旧动力电池综合利用管理。</w:t>
      </w:r>
      <w:r>
        <w:rPr>
          <w:rFonts w:hint="default"/>
          <w:lang w:val="en-US" w:eastAsia="zh-CN"/>
        </w:rPr>
        <w:t>一是规定从事废旧动力电池综合利用活动，应当符合资源综合利用、环境保护、安全生产等法律法规，并办理项目核准、排污许可等手续。二是禁止将废旧动力电池直接或者加工后用于法律、行政法规和强制性标准禁止使用的其他领域。三是明确属于工业固体废物的废旧动力电池的处置利用，依据《中华人民共和国固体废物污染环境防治法》等法律、行政法规的规定执行。</w:t>
      </w:r>
    </w:p>
    <w:p w14:paraId="79BE992B">
      <w:pPr>
        <w:ind w:firstLine="562" w:firstLineChars="200"/>
        <w:rPr>
          <w:rFonts w:hint="default"/>
          <w:lang w:val="en-US" w:eastAsia="zh-CN"/>
        </w:rPr>
      </w:pPr>
      <w:r>
        <w:rPr>
          <w:rStyle w:val="28"/>
          <w:rFonts w:hint="default"/>
          <w:lang w:val="en-US" w:eastAsia="zh-CN"/>
        </w:rPr>
        <w:t>（四）明确监督管理和法律责任。</w:t>
      </w:r>
      <w:r>
        <w:rPr>
          <w:rFonts w:hint="default"/>
          <w:lang w:val="en-US" w:eastAsia="zh-CN"/>
        </w:rPr>
        <w:t>一是明确工业和信息化、发展改革等部门应当加强监督检查，严格落实国务院涉企行政检查的要求。二是对违反动力电池编码要求、不履行回收责任、未按要求移交废旧动力电池，以及不履行信息报送义务等行为，设定了罚款等行政处罚，并明确了行政处罚的实施主体。</w:t>
      </w:r>
    </w:p>
    <w:p w14:paraId="11EA4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4343400" cy="8343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343400" cy="8343900"/>
                    </a:xfrm>
                    <a:prstGeom prst="rect">
                      <a:avLst/>
                    </a:prstGeom>
                    <a:noFill/>
                    <a:ln>
                      <a:noFill/>
                    </a:ln>
                  </pic:spPr>
                </pic:pic>
              </a:graphicData>
            </a:graphic>
          </wp:inline>
        </w:drawing>
      </w:r>
      <w:r>
        <w:drawing>
          <wp:inline distT="0" distB="0" distL="114300" distR="114300">
            <wp:extent cx="4448175" cy="8058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448175" cy="8058150"/>
                    </a:xfrm>
                    <a:prstGeom prst="rect">
                      <a:avLst/>
                    </a:prstGeom>
                    <a:noFill/>
                    <a:ln>
                      <a:noFill/>
                    </a:ln>
                  </pic:spPr>
                </pic:pic>
              </a:graphicData>
            </a:graphic>
          </wp:inline>
        </w:drawing>
      </w:r>
      <w:r>
        <w:drawing>
          <wp:inline distT="0" distB="0" distL="114300" distR="114300">
            <wp:extent cx="4362450" cy="8001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362450" cy="8001000"/>
                    </a:xfrm>
                    <a:prstGeom prst="rect">
                      <a:avLst/>
                    </a:prstGeom>
                    <a:noFill/>
                    <a:ln>
                      <a:noFill/>
                    </a:ln>
                  </pic:spPr>
                </pic:pic>
              </a:graphicData>
            </a:graphic>
          </wp:inline>
        </w:drawing>
      </w:r>
      <w:r>
        <w:drawing>
          <wp:inline distT="0" distB="0" distL="114300" distR="114300">
            <wp:extent cx="4419600" cy="8134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419600" cy="8134350"/>
                    </a:xfrm>
                    <a:prstGeom prst="rect">
                      <a:avLst/>
                    </a:prstGeom>
                    <a:noFill/>
                    <a:ln>
                      <a:noFill/>
                    </a:ln>
                  </pic:spPr>
                </pic:pic>
              </a:graphicData>
            </a:graphic>
          </wp:inline>
        </w:drawing>
      </w:r>
      <w:r>
        <w:drawing>
          <wp:inline distT="0" distB="0" distL="114300" distR="114300">
            <wp:extent cx="4391025" cy="82105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391025" cy="8210550"/>
                    </a:xfrm>
                    <a:prstGeom prst="rect">
                      <a:avLst/>
                    </a:prstGeom>
                    <a:noFill/>
                    <a:ln>
                      <a:noFill/>
                    </a:ln>
                  </pic:spPr>
                </pic:pic>
              </a:graphicData>
            </a:graphic>
          </wp:inline>
        </w:drawing>
      </w:r>
      <w:r>
        <w:drawing>
          <wp:inline distT="0" distB="0" distL="114300" distR="114300">
            <wp:extent cx="4381500" cy="79152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381500" cy="7915275"/>
                    </a:xfrm>
                    <a:prstGeom prst="rect">
                      <a:avLst/>
                    </a:prstGeom>
                    <a:noFill/>
                    <a:ln>
                      <a:noFill/>
                    </a:ln>
                  </pic:spPr>
                </pic:pic>
              </a:graphicData>
            </a:graphic>
          </wp:inline>
        </w:drawing>
      </w:r>
      <w:r>
        <w:drawing>
          <wp:inline distT="0" distB="0" distL="114300" distR="114300">
            <wp:extent cx="4410075" cy="82962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410075" cy="8296275"/>
                    </a:xfrm>
                    <a:prstGeom prst="rect">
                      <a:avLst/>
                    </a:prstGeom>
                    <a:noFill/>
                    <a:ln>
                      <a:noFill/>
                    </a:ln>
                  </pic:spPr>
                </pic:pic>
              </a:graphicData>
            </a:graphic>
          </wp:inline>
        </w:drawing>
      </w:r>
      <w:r>
        <w:drawing>
          <wp:inline distT="0" distB="0" distL="114300" distR="114300">
            <wp:extent cx="4495800" cy="8067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4495800" cy="8067675"/>
                    </a:xfrm>
                    <a:prstGeom prst="rect">
                      <a:avLst/>
                    </a:prstGeom>
                    <a:noFill/>
                    <a:ln>
                      <a:noFill/>
                    </a:ln>
                  </pic:spPr>
                </pic:pic>
              </a:graphicData>
            </a:graphic>
          </wp:inline>
        </w:drawing>
      </w:r>
      <w:r>
        <w:drawing>
          <wp:inline distT="0" distB="0" distL="114300" distR="114300">
            <wp:extent cx="4476750" cy="7048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476750" cy="7048500"/>
                    </a:xfrm>
                    <a:prstGeom prst="rect">
                      <a:avLst/>
                    </a:prstGeom>
                    <a:noFill/>
                    <a:ln>
                      <a:noFill/>
                    </a:ln>
                  </pic:spPr>
                </pic:pic>
              </a:graphicData>
            </a:graphic>
          </wp:inline>
        </w:drawing>
      </w:r>
    </w:p>
    <w:p w14:paraId="2094586A">
      <w:pPr>
        <w:ind w:firstLine="560" w:firstLineChars="200"/>
        <w:rPr>
          <w:rFonts w:hint="default"/>
          <w:lang w:val="en-US" w:eastAsia="zh-CN"/>
        </w:rPr>
      </w:pPr>
      <w:r>
        <w:rPr>
          <w:rFonts w:hint="default"/>
          <w:lang w:val="en-US" w:eastAsia="zh-CN"/>
        </w:rPr>
        <w:t>https://mp.weixin.qq.com/s/O-tc39XBkh4osuuBrKSaZQ</w:t>
      </w:r>
      <w:bookmarkStart w:id="0" w:name="_GoBack"/>
      <w:bookmarkEnd w:id="0"/>
    </w:p>
    <w:sectPr>
      <w:headerReference r:id="rId5" w:type="default"/>
      <w:footerReference r:id="rId6" w:type="default"/>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auto"/>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1"/>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2"/>
      <w:pBdr>
        <w:bottom w:val="none" w:color="auto" w:sz="0" w:space="1"/>
      </w:pBdr>
      <w:ind w:firstLine="0" w:firstLineChars="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94BB8"/>
    <w:rsid w:val="04DE3790"/>
    <w:rsid w:val="04E5597F"/>
    <w:rsid w:val="05CC0449"/>
    <w:rsid w:val="05CC6BA7"/>
    <w:rsid w:val="05F56545"/>
    <w:rsid w:val="062F5783"/>
    <w:rsid w:val="067A50BC"/>
    <w:rsid w:val="06961A26"/>
    <w:rsid w:val="072E100E"/>
    <w:rsid w:val="07D41004"/>
    <w:rsid w:val="08232C96"/>
    <w:rsid w:val="093C70F8"/>
    <w:rsid w:val="094C1995"/>
    <w:rsid w:val="098A372D"/>
    <w:rsid w:val="09BA3767"/>
    <w:rsid w:val="0A3D2F70"/>
    <w:rsid w:val="0B9079F1"/>
    <w:rsid w:val="0D191DA8"/>
    <w:rsid w:val="0E075FBD"/>
    <w:rsid w:val="0E1238D7"/>
    <w:rsid w:val="0E592DD6"/>
    <w:rsid w:val="0EBE39E4"/>
    <w:rsid w:val="0F033741"/>
    <w:rsid w:val="0F9E1127"/>
    <w:rsid w:val="0FC26D8E"/>
    <w:rsid w:val="11CF7807"/>
    <w:rsid w:val="122C71D3"/>
    <w:rsid w:val="12B6109D"/>
    <w:rsid w:val="135C6A68"/>
    <w:rsid w:val="14AC3169"/>
    <w:rsid w:val="14BA55A9"/>
    <w:rsid w:val="16001761"/>
    <w:rsid w:val="16E465E6"/>
    <w:rsid w:val="17B571BE"/>
    <w:rsid w:val="17C62F40"/>
    <w:rsid w:val="187A04AD"/>
    <w:rsid w:val="188602CE"/>
    <w:rsid w:val="191F6B75"/>
    <w:rsid w:val="19DB3E43"/>
    <w:rsid w:val="1A3F168A"/>
    <w:rsid w:val="1ACD4BC9"/>
    <w:rsid w:val="1AD00105"/>
    <w:rsid w:val="1B0C1D1B"/>
    <w:rsid w:val="1C1F5C60"/>
    <w:rsid w:val="1C26202E"/>
    <w:rsid w:val="1CC27937"/>
    <w:rsid w:val="1CFA082A"/>
    <w:rsid w:val="1D75769C"/>
    <w:rsid w:val="1E486D5E"/>
    <w:rsid w:val="2075289F"/>
    <w:rsid w:val="20E515DF"/>
    <w:rsid w:val="20EE4514"/>
    <w:rsid w:val="2107263D"/>
    <w:rsid w:val="222C18FA"/>
    <w:rsid w:val="22A660F0"/>
    <w:rsid w:val="22D016B3"/>
    <w:rsid w:val="23350630"/>
    <w:rsid w:val="239C0C8D"/>
    <w:rsid w:val="2458023C"/>
    <w:rsid w:val="24891F4C"/>
    <w:rsid w:val="24FB777E"/>
    <w:rsid w:val="26BE469D"/>
    <w:rsid w:val="26EC7115"/>
    <w:rsid w:val="26F100FD"/>
    <w:rsid w:val="271C076E"/>
    <w:rsid w:val="27424958"/>
    <w:rsid w:val="28096A1B"/>
    <w:rsid w:val="28341D78"/>
    <w:rsid w:val="284055FE"/>
    <w:rsid w:val="284C442A"/>
    <w:rsid w:val="2867493B"/>
    <w:rsid w:val="288233CE"/>
    <w:rsid w:val="28DC46FC"/>
    <w:rsid w:val="29481F8B"/>
    <w:rsid w:val="299E2259"/>
    <w:rsid w:val="29AE54C4"/>
    <w:rsid w:val="29C65FAD"/>
    <w:rsid w:val="2A20733C"/>
    <w:rsid w:val="2A36166C"/>
    <w:rsid w:val="2A5B6A65"/>
    <w:rsid w:val="2AC85DD5"/>
    <w:rsid w:val="2B983D5E"/>
    <w:rsid w:val="2C1B2534"/>
    <w:rsid w:val="2C5661E7"/>
    <w:rsid w:val="2CC90378"/>
    <w:rsid w:val="2D1E7304"/>
    <w:rsid w:val="2DDA75F8"/>
    <w:rsid w:val="2E561F32"/>
    <w:rsid w:val="2ED14BFE"/>
    <w:rsid w:val="2F167534"/>
    <w:rsid w:val="30D427EB"/>
    <w:rsid w:val="31604062"/>
    <w:rsid w:val="31AC3498"/>
    <w:rsid w:val="31BA36E4"/>
    <w:rsid w:val="33E870FA"/>
    <w:rsid w:val="34163C6F"/>
    <w:rsid w:val="34FC0B26"/>
    <w:rsid w:val="35CC7FE4"/>
    <w:rsid w:val="35E70CC3"/>
    <w:rsid w:val="370B0758"/>
    <w:rsid w:val="37431207"/>
    <w:rsid w:val="38D5360F"/>
    <w:rsid w:val="39C13035"/>
    <w:rsid w:val="3B005163"/>
    <w:rsid w:val="3BC5648D"/>
    <w:rsid w:val="3C131F35"/>
    <w:rsid w:val="3C8B707E"/>
    <w:rsid w:val="3CC7041B"/>
    <w:rsid w:val="3D242F7A"/>
    <w:rsid w:val="3E9C40F3"/>
    <w:rsid w:val="40452982"/>
    <w:rsid w:val="40B15178"/>
    <w:rsid w:val="4139196E"/>
    <w:rsid w:val="417A5F93"/>
    <w:rsid w:val="4296377D"/>
    <w:rsid w:val="42F8070A"/>
    <w:rsid w:val="42F8472E"/>
    <w:rsid w:val="430E0353"/>
    <w:rsid w:val="43357F41"/>
    <w:rsid w:val="433C38D6"/>
    <w:rsid w:val="43530137"/>
    <w:rsid w:val="441C68B9"/>
    <w:rsid w:val="446948F1"/>
    <w:rsid w:val="45637541"/>
    <w:rsid w:val="45B9632A"/>
    <w:rsid w:val="46EA79BC"/>
    <w:rsid w:val="47407E1B"/>
    <w:rsid w:val="479917B8"/>
    <w:rsid w:val="480C084C"/>
    <w:rsid w:val="480F418D"/>
    <w:rsid w:val="485C7A85"/>
    <w:rsid w:val="48693B78"/>
    <w:rsid w:val="486F5D2C"/>
    <w:rsid w:val="4B077B9F"/>
    <w:rsid w:val="4CA87F48"/>
    <w:rsid w:val="4CF97814"/>
    <w:rsid w:val="4D797ECA"/>
    <w:rsid w:val="4E7271B8"/>
    <w:rsid w:val="4EB31BF9"/>
    <w:rsid w:val="4EC61E40"/>
    <w:rsid w:val="4EF23FDF"/>
    <w:rsid w:val="4F1A1801"/>
    <w:rsid w:val="4F216E80"/>
    <w:rsid w:val="4F6B7653"/>
    <w:rsid w:val="4F816972"/>
    <w:rsid w:val="505020B9"/>
    <w:rsid w:val="514A0E57"/>
    <w:rsid w:val="515B6E68"/>
    <w:rsid w:val="52511EB8"/>
    <w:rsid w:val="52570C55"/>
    <w:rsid w:val="528945A2"/>
    <w:rsid w:val="54581D88"/>
    <w:rsid w:val="56A05C5E"/>
    <w:rsid w:val="56AF3A33"/>
    <w:rsid w:val="574C2E7F"/>
    <w:rsid w:val="57691CAA"/>
    <w:rsid w:val="579B39F0"/>
    <w:rsid w:val="57A37E38"/>
    <w:rsid w:val="587662C1"/>
    <w:rsid w:val="58E45E5C"/>
    <w:rsid w:val="5966249A"/>
    <w:rsid w:val="599D54F4"/>
    <w:rsid w:val="5ABE63C0"/>
    <w:rsid w:val="5AFF7B53"/>
    <w:rsid w:val="5B081542"/>
    <w:rsid w:val="5B5F3C17"/>
    <w:rsid w:val="5C0F18E6"/>
    <w:rsid w:val="5D942074"/>
    <w:rsid w:val="5E365821"/>
    <w:rsid w:val="5EC45876"/>
    <w:rsid w:val="5F42540D"/>
    <w:rsid w:val="5F9A3865"/>
    <w:rsid w:val="601B5D76"/>
    <w:rsid w:val="605308F0"/>
    <w:rsid w:val="60F01468"/>
    <w:rsid w:val="613B531F"/>
    <w:rsid w:val="61537BFA"/>
    <w:rsid w:val="61941FCD"/>
    <w:rsid w:val="61A372B8"/>
    <w:rsid w:val="61AE74CA"/>
    <w:rsid w:val="61CC184F"/>
    <w:rsid w:val="61FB7F6E"/>
    <w:rsid w:val="626A293A"/>
    <w:rsid w:val="62D41677"/>
    <w:rsid w:val="62FA3689"/>
    <w:rsid w:val="632C62D6"/>
    <w:rsid w:val="633F1FAA"/>
    <w:rsid w:val="64E928BC"/>
    <w:rsid w:val="65D44687"/>
    <w:rsid w:val="66801568"/>
    <w:rsid w:val="67550FD9"/>
    <w:rsid w:val="6764121C"/>
    <w:rsid w:val="67697562"/>
    <w:rsid w:val="68B41D2F"/>
    <w:rsid w:val="695B7490"/>
    <w:rsid w:val="69C218FE"/>
    <w:rsid w:val="69C77AA6"/>
    <w:rsid w:val="6A36022A"/>
    <w:rsid w:val="6B6155A0"/>
    <w:rsid w:val="6BC9376B"/>
    <w:rsid w:val="6BD05FBC"/>
    <w:rsid w:val="6C270DD3"/>
    <w:rsid w:val="6C705350"/>
    <w:rsid w:val="6CB322FE"/>
    <w:rsid w:val="6D872A5A"/>
    <w:rsid w:val="6E1F25FD"/>
    <w:rsid w:val="6E413E28"/>
    <w:rsid w:val="6EA91C0A"/>
    <w:rsid w:val="6F4638FD"/>
    <w:rsid w:val="702831D6"/>
    <w:rsid w:val="703776C9"/>
    <w:rsid w:val="70956FE4"/>
    <w:rsid w:val="709D2305"/>
    <w:rsid w:val="71020CE1"/>
    <w:rsid w:val="71645595"/>
    <w:rsid w:val="734325A8"/>
    <w:rsid w:val="73F7433F"/>
    <w:rsid w:val="756F626F"/>
    <w:rsid w:val="75930F1E"/>
    <w:rsid w:val="775748F9"/>
    <w:rsid w:val="77BF12F7"/>
    <w:rsid w:val="78264085"/>
    <w:rsid w:val="78F91413"/>
    <w:rsid w:val="79060B26"/>
    <w:rsid w:val="79606526"/>
    <w:rsid w:val="798E17BF"/>
    <w:rsid w:val="79D16624"/>
    <w:rsid w:val="79E44119"/>
    <w:rsid w:val="7A5A1A94"/>
    <w:rsid w:val="7AA0221D"/>
    <w:rsid w:val="7B705706"/>
    <w:rsid w:val="7C813A8B"/>
    <w:rsid w:val="7D470D1C"/>
    <w:rsid w:val="7DCC36B1"/>
    <w:rsid w:val="7DDA3010"/>
    <w:rsid w:val="7E0E1F5B"/>
    <w:rsid w:val="7F414D8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6"/>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8"/>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9"/>
    <w:unhideWhenUsed/>
    <w:qFormat/>
    <w:uiPriority w:val="9"/>
    <w:pPr>
      <w:keepNext/>
      <w:keepLines/>
      <w:spacing w:line="440" w:lineRule="exact"/>
      <w:outlineLvl w:val="2"/>
    </w:pPr>
    <w:rPr>
      <w:b/>
      <w:bCs/>
      <w:szCs w:val="32"/>
    </w:rPr>
  </w:style>
  <w:style w:type="paragraph" w:styleId="5">
    <w:name w:val="heading 4"/>
    <w:basedOn w:val="1"/>
    <w:next w:val="1"/>
    <w:link w:val="30"/>
    <w:unhideWhenUsed/>
    <w:qFormat/>
    <w:uiPriority w:val="9"/>
    <w:pPr>
      <w:keepNext/>
      <w:keepLines/>
      <w:spacing w:beforeLines="0" w:beforeAutospacing="0" w:afterLines="0" w:afterAutospacing="0" w:line="440" w:lineRule="exac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9">
    <w:name w:val="Body Text"/>
    <w:basedOn w:val="1"/>
    <w:next w:val="10"/>
    <w:semiHidden/>
    <w:qFormat/>
    <w:uiPriority w:val="0"/>
    <w:rPr>
      <w:rFonts w:ascii="FangSong_GB2312" w:hAnsi="FangSong_GB2312" w:eastAsia="FangSong_GB2312" w:cs="FangSong_GB2312"/>
      <w:sz w:val="31"/>
      <w:szCs w:val="31"/>
      <w:lang w:val="en-US" w:eastAsia="en-US" w:bidi="ar-SA"/>
    </w:rPr>
  </w:style>
  <w:style w:type="paragraph" w:styleId="10">
    <w:name w:val="Title"/>
    <w:basedOn w:val="1"/>
    <w:next w:val="1"/>
    <w:link w:val="34"/>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paragraph" w:styleId="11">
    <w:name w:val="footer"/>
    <w:basedOn w:val="1"/>
    <w:link w:val="31"/>
    <w:unhideWhenUsed/>
    <w:qFormat/>
    <w:uiPriority w:val="99"/>
    <w:pPr>
      <w:tabs>
        <w:tab w:val="center" w:pos="4153"/>
        <w:tab w:val="right" w:pos="8306"/>
      </w:tabs>
      <w:snapToGrid w:val="0"/>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3"/>
    <w:qFormat/>
    <w:uiPriority w:val="11"/>
    <w:pPr>
      <w:outlineLvl w:val="1"/>
    </w:pPr>
    <w:rPr>
      <w:b/>
      <w:bCs/>
      <w:kern w:val="28"/>
      <w:szCs w:val="32"/>
    </w:rPr>
  </w:style>
  <w:style w:type="paragraph" w:styleId="14">
    <w:name w:val="footnote text"/>
    <w:basedOn w:val="1"/>
    <w:qFormat/>
    <w:uiPriority w:val="0"/>
    <w:pPr>
      <w:snapToGrid w:val="0"/>
      <w:jc w:val="left"/>
    </w:pPr>
    <w:rPr>
      <w:sz w:val="18"/>
      <w:szCs w:val="20"/>
    </w:rPr>
  </w:style>
  <w:style w:type="paragraph" w:styleId="1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7">
    <w:name w:val="Table Grid"/>
    <w:basedOn w:val="1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rFonts w:eastAsia="仿宋_GB2312"/>
      <w:b/>
      <w:bCs/>
      <w:color w:val="7030A0"/>
      <w:spacing w:val="-8"/>
      <w:w w:val="96"/>
      <w:sz w:val="28"/>
    </w:rPr>
  </w:style>
  <w:style w:type="character" w:styleId="20">
    <w:name w:val="FollowedHyperlink"/>
    <w:basedOn w:val="18"/>
    <w:unhideWhenUsed/>
    <w:qFormat/>
    <w:uiPriority w:val="99"/>
    <w:rPr>
      <w:color w:val="404040"/>
      <w:u w:val="none"/>
    </w:rPr>
  </w:style>
  <w:style w:type="character" w:styleId="21">
    <w:name w:val="Emphasis"/>
    <w:basedOn w:val="18"/>
    <w:qFormat/>
    <w:uiPriority w:val="20"/>
    <w:rPr>
      <w:rFonts w:eastAsia="华文楷体"/>
      <w:iCs/>
      <w:sz w:val="28"/>
    </w:rPr>
  </w:style>
  <w:style w:type="character" w:styleId="22">
    <w:name w:val="line number"/>
    <w:basedOn w:val="18"/>
    <w:unhideWhenUsed/>
    <w:qFormat/>
    <w:uiPriority w:val="99"/>
  </w:style>
  <w:style w:type="character" w:styleId="23">
    <w:name w:val="HTML Variable"/>
    <w:basedOn w:val="18"/>
    <w:unhideWhenUsed/>
    <w:qFormat/>
    <w:uiPriority w:val="99"/>
  </w:style>
  <w:style w:type="character" w:styleId="24">
    <w:name w:val="Hyperlink"/>
    <w:basedOn w:val="18"/>
    <w:unhideWhenUsed/>
    <w:qFormat/>
    <w:uiPriority w:val="99"/>
    <w:rPr>
      <w:color w:val="404040"/>
      <w:u w:val="none"/>
    </w:rPr>
  </w:style>
  <w:style w:type="character" w:styleId="25">
    <w:name w:val="footnote reference"/>
    <w:qFormat/>
    <w:uiPriority w:val="0"/>
    <w:rPr>
      <w:rFonts w:hint="default" w:ascii="Verdana" w:hAnsi="Verdana" w:eastAsia="宋体" w:cs="Verdana"/>
      <w:kern w:val="0"/>
      <w:sz w:val="20"/>
      <w:szCs w:val="20"/>
      <w:vertAlign w:val="superscript"/>
      <w:lang w:eastAsia="en-US"/>
    </w:rPr>
  </w:style>
  <w:style w:type="character" w:customStyle="1" w:styleId="26">
    <w:name w:val="标题 1 字符"/>
    <w:basedOn w:val="18"/>
    <w:link w:val="2"/>
    <w:qFormat/>
    <w:uiPriority w:val="9"/>
    <w:rPr>
      <w:rFonts w:ascii="黑体" w:hAnsi="黑体" w:eastAsia="黑体"/>
      <w:bCs/>
      <w:kern w:val="44"/>
      <w:sz w:val="28"/>
      <w:szCs w:val="44"/>
    </w:rPr>
  </w:style>
  <w:style w:type="character" w:customStyle="1" w:styleId="27">
    <w:name w:val="标题 3 Char1"/>
    <w:link w:val="4"/>
    <w:qFormat/>
    <w:uiPriority w:val="9"/>
    <w:rPr>
      <w:rFonts w:ascii="仿宋_GB2312" w:hAnsi="仿宋_GB2312" w:eastAsia="仿宋_GB2312"/>
      <w:b/>
    </w:rPr>
  </w:style>
  <w:style w:type="character" w:customStyle="1" w:styleId="28">
    <w:name w:val="标题 2 字符"/>
    <w:basedOn w:val="18"/>
    <w:link w:val="3"/>
    <w:qFormat/>
    <w:uiPriority w:val="9"/>
    <w:rPr>
      <w:rFonts w:ascii="楷体_GB2312" w:hAnsi="楷体_GB2312" w:eastAsia="楷体_GB2312" w:cs="Times New Roman"/>
      <w:b/>
      <w:bCs/>
      <w:sz w:val="28"/>
      <w:szCs w:val="32"/>
    </w:rPr>
  </w:style>
  <w:style w:type="character" w:customStyle="1" w:styleId="29">
    <w:name w:val="标题 3 字符"/>
    <w:basedOn w:val="18"/>
    <w:link w:val="4"/>
    <w:semiHidden/>
    <w:qFormat/>
    <w:uiPriority w:val="9"/>
    <w:rPr>
      <w:rFonts w:ascii="仿宋_GB2312" w:hAnsi="仿宋_GB2312" w:eastAsia="仿宋_GB2312"/>
      <w:b/>
      <w:bCs/>
      <w:kern w:val="2"/>
      <w:sz w:val="28"/>
      <w:szCs w:val="32"/>
    </w:rPr>
  </w:style>
  <w:style w:type="character" w:customStyle="1" w:styleId="30">
    <w:name w:val="标题 4 Char1"/>
    <w:link w:val="5"/>
    <w:qFormat/>
    <w:uiPriority w:val="9"/>
    <w:rPr>
      <w:rFonts w:ascii="仿宋_GB2312" w:hAnsi="仿宋_GB2312" w:eastAsia="仿宋_GB2312"/>
    </w:rPr>
  </w:style>
  <w:style w:type="character" w:customStyle="1" w:styleId="31">
    <w:name w:val="页脚 字符"/>
    <w:basedOn w:val="18"/>
    <w:link w:val="11"/>
    <w:qFormat/>
    <w:uiPriority w:val="99"/>
    <w:rPr>
      <w:sz w:val="18"/>
      <w:szCs w:val="18"/>
    </w:rPr>
  </w:style>
  <w:style w:type="character" w:customStyle="1" w:styleId="32">
    <w:name w:val="页眉 字符"/>
    <w:basedOn w:val="18"/>
    <w:link w:val="12"/>
    <w:qFormat/>
    <w:uiPriority w:val="99"/>
    <w:rPr>
      <w:sz w:val="18"/>
      <w:szCs w:val="18"/>
    </w:rPr>
  </w:style>
  <w:style w:type="character" w:customStyle="1" w:styleId="33">
    <w:name w:val="副标题 字符"/>
    <w:basedOn w:val="18"/>
    <w:link w:val="13"/>
    <w:qFormat/>
    <w:uiPriority w:val="11"/>
    <w:rPr>
      <w:rFonts w:ascii="仿宋_GB2312" w:eastAsia="仿宋_GB2312"/>
      <w:b/>
      <w:bCs/>
      <w:kern w:val="28"/>
      <w:sz w:val="28"/>
      <w:szCs w:val="32"/>
    </w:rPr>
  </w:style>
  <w:style w:type="character" w:customStyle="1" w:styleId="34">
    <w:name w:val="标题 字符"/>
    <w:basedOn w:val="18"/>
    <w:link w:val="10"/>
    <w:qFormat/>
    <w:uiPriority w:val="10"/>
    <w:rPr>
      <w:rFonts w:ascii="华文中宋" w:hAnsi="华文中宋" w:eastAsia="华文中宋" w:cs="Times New Roman"/>
      <w:b/>
      <w:bCs/>
      <w:sz w:val="32"/>
      <w:szCs w:val="32"/>
    </w:rPr>
  </w:style>
  <w:style w:type="paragraph" w:styleId="35">
    <w:name w:val="Quote"/>
    <w:basedOn w:val="1"/>
    <w:next w:val="1"/>
    <w:link w:val="36"/>
    <w:qFormat/>
    <w:uiPriority w:val="29"/>
    <w:pPr>
      <w:ind w:firstLine="486"/>
    </w:pPr>
    <w:rPr>
      <w:rFonts w:eastAsia="华文楷体"/>
      <w:iCs/>
      <w:spacing w:val="-16"/>
      <w:w w:val="98"/>
    </w:rPr>
  </w:style>
  <w:style w:type="character" w:customStyle="1" w:styleId="36">
    <w:name w:val="引用 字符"/>
    <w:basedOn w:val="18"/>
    <w:link w:val="35"/>
    <w:qFormat/>
    <w:uiPriority w:val="29"/>
    <w:rPr>
      <w:rFonts w:ascii="仿宋_GB2312" w:eastAsia="华文楷体"/>
      <w:iCs/>
      <w:spacing w:val="-16"/>
      <w:w w:val="98"/>
      <w:sz w:val="28"/>
    </w:rPr>
  </w:style>
  <w:style w:type="paragraph" w:styleId="37">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8">
    <w:name w:val="不明显强调1"/>
    <w:basedOn w:val="18"/>
    <w:qFormat/>
    <w:uiPriority w:val="19"/>
    <w:rPr>
      <w:i/>
      <w:iCs/>
      <w:color w:val="3F3F3F"/>
    </w:rPr>
  </w:style>
  <w:style w:type="table" w:customStyle="1" w:styleId="39">
    <w:name w:val="Table Normal"/>
    <w:unhideWhenUsed/>
    <w:qFormat/>
    <w:uiPriority w:val="0"/>
    <w:tblPr>
      <w:tblCellMar>
        <w:top w:w="0" w:type="dxa"/>
        <w:left w:w="0" w:type="dxa"/>
        <w:bottom w:w="0" w:type="dxa"/>
        <w:right w:w="0" w:type="dxa"/>
      </w:tblCellMar>
    </w:tblPr>
  </w:style>
  <w:style w:type="paragraph" w:customStyle="1" w:styleId="40">
    <w:name w:val="title_m"/>
    <w:basedOn w:val="1"/>
    <w:qFormat/>
    <w:uiPriority w:val="0"/>
    <w:pPr>
      <w:jc w:val="center"/>
    </w:pPr>
    <w:rPr>
      <w:rFonts w:ascii="宋体" w:hAnsi="宋体" w:eastAsia="宋体" w:cs="宋体"/>
      <w:b/>
      <w:bCs/>
      <w:sz w:val="32"/>
      <w:szCs w:val="32"/>
    </w:rPr>
  </w:style>
  <w:style w:type="paragraph" w:customStyle="1" w:styleId="41">
    <w:name w:val="fulltext_text"/>
    <w:basedOn w:val="1"/>
    <w:qFormat/>
    <w:uiPriority w:val="0"/>
    <w:pPr>
      <w:spacing w:line="525" w:lineRule="atLeast"/>
    </w:pPr>
    <w:rPr>
      <w:rFonts w:ascii="宋体" w:hAnsi="宋体" w:eastAsia="宋体" w:cs="宋体"/>
      <w:sz w:val="24"/>
      <w:szCs w:val="24"/>
    </w:rPr>
  </w:style>
  <w:style w:type="character" w:customStyle="1" w:styleId="42">
    <w:name w:val="c_tiao"/>
    <w:basedOn w:val="18"/>
    <w:qFormat/>
    <w:uiPriority w:val="0"/>
    <w:rPr>
      <w:rFonts w:ascii="宋体" w:hAnsi="宋体" w:eastAsia="宋体" w:cs="宋体"/>
      <w:b/>
      <w:bCs/>
      <w:sz w:val="24"/>
      <w:szCs w:val="24"/>
    </w:rPr>
  </w:style>
  <w:style w:type="paragraph" w:customStyle="1" w:styleId="43">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6">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7">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8">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9">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0">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1">
    <w:name w:val="Body text|3"/>
    <w:basedOn w:val="1"/>
    <w:qFormat/>
    <w:uiPriority w:val="0"/>
    <w:pPr>
      <w:widowControl w:val="0"/>
      <w:shd w:val="clear" w:color="auto" w:fill="auto"/>
      <w:spacing w:line="363" w:lineRule="exact"/>
      <w:ind w:firstLine="140"/>
    </w:pPr>
    <w:rPr>
      <w:u w:val="none"/>
      <w:shd w:val="clear" w:color="auto" w:fill="auto"/>
    </w:rPr>
  </w:style>
  <w:style w:type="paragraph" w:customStyle="1" w:styleId="52">
    <w:name w:val="Table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microsoft.com/office/2006/relationships/keyMapCustomizations" Target="customizations.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1495</Words>
  <Characters>1603</Characters>
  <Lines>1</Lines>
  <Paragraphs>1</Paragraphs>
  <TotalTime>3</TotalTime>
  <ScaleCrop>false</ScaleCrop>
  <LinksUpToDate>false</LinksUpToDate>
  <CharactersWithSpaces>1629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2026-01-16T09:11:00Z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49177EEE4EA14C7EBCFA2519557F0579_13</vt:lpwstr>
  </property>
  <property fmtid="{D5CDD505-2E9C-101B-9397-08002B2CF9AE}" pid="4" name="KSOTemplateDocerSaveRecord">
    <vt:lpwstr>eyJoZGlkIjoiMjIxMjI5YjhlNTAxYzUyOTYyYWZlMGFjYmE4ZTczY2EiLCJ1c2VySWQiOiIxNDU2NzYxMDUwIn0=</vt:lpwstr>
  </property>
</Properties>
</file>