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BECCF">
      <w:pPr>
        <w:pStyle w:val="10"/>
        <w:bidi w:val="0"/>
        <w:rPr>
          <w:rFonts w:hint="default"/>
          <w:lang w:val="en-US" w:eastAsia="zh-CN"/>
        </w:rPr>
      </w:pPr>
      <w:bookmarkStart w:id="0" w:name="_GoBack"/>
      <w:r>
        <w:rPr>
          <w:rFonts w:hint="default"/>
          <w:lang w:val="en-US" w:eastAsia="zh-CN"/>
        </w:rPr>
        <w:t>五部门联合印发《工业绿色微电网建设与应用指南（2026—2030年）》</w:t>
      </w:r>
    </w:p>
    <w:bookmarkEnd w:id="0"/>
    <w:p w14:paraId="6660C6D0">
      <w:pPr>
        <w:pStyle w:val="8"/>
        <w:bidi w:val="0"/>
        <w:rPr>
          <w:rFonts w:hint="default"/>
          <w:lang w:val="en-US" w:eastAsia="zh-CN"/>
        </w:rPr>
      </w:pPr>
      <w:r>
        <w:rPr>
          <w:rFonts w:hint="default"/>
          <w:lang w:val="en-US" w:eastAsia="zh-CN"/>
        </w:rPr>
        <w:t>发布时间：2026-01-09 10:20</w:t>
      </w:r>
      <w:r>
        <w:rPr>
          <w:rFonts w:hint="eastAsia"/>
          <w:lang w:val="en-US" w:eastAsia="zh-CN"/>
        </w:rPr>
        <w:t xml:space="preserve">                         </w:t>
      </w:r>
      <w:r>
        <w:rPr>
          <w:rFonts w:hint="default"/>
          <w:lang w:val="en-US" w:eastAsia="zh-CN"/>
        </w:rPr>
        <w:t>来源：节能与综合利用司</w:t>
      </w:r>
    </w:p>
    <w:p w14:paraId="60F49548">
      <w:pPr>
        <w:ind w:firstLine="560" w:firstLineChars="200"/>
        <w:rPr>
          <w:rFonts w:hint="default"/>
          <w:lang w:val="en-US" w:eastAsia="zh-CN"/>
        </w:rPr>
      </w:pPr>
      <w:r>
        <w:rPr>
          <w:rFonts w:hint="default"/>
          <w:lang w:val="en-US" w:eastAsia="zh-CN"/>
        </w:rPr>
        <w:t>近日，工业和信息化部、国家发展改革委、国务院国资委、市场监管总局、国家能源局等五部门联合印发《工业绿色微电网建设与应用指南（2026—2030年）》（工信厅联节〔2025〕77号，以下简称《指南》），引导工业企业和园区推进工业绿色微电网建设与应用，扩大工业领域绿电应用，促进工业重点行业领域节能降碳。</w:t>
      </w:r>
    </w:p>
    <w:p w14:paraId="42BE9319">
      <w:pPr>
        <w:ind w:firstLine="560" w:firstLineChars="200"/>
        <w:rPr>
          <w:rFonts w:hint="default"/>
          <w:lang w:val="en-US" w:eastAsia="zh-CN"/>
        </w:rPr>
      </w:pPr>
      <w:r>
        <w:rPr>
          <w:rFonts w:hint="default"/>
          <w:lang w:val="en-US" w:eastAsia="zh-CN"/>
        </w:rPr>
        <w:t>《中共中央关于制定国民经济和社会发展第十五个五年规划的建议》提出“加快智能电网和微电网建设”。中央经济工作会议提出“扩大绿电应用”。工业绿色微电网是以向工业用户提供绿色电力为主要目的，集成应用光伏、风电、高效热泵、新型储能、氢能、余热余压余气、智慧能源管控等一体化系统，可融合工业生产过程与电网友好互动并实现协同自治的综合能源系统。推进工业绿色微电网建设应用，是促进工业用能低碳转型、落实工业领域碳达峰目标的重要途径，是培育绿色发展新动能、锻造产业竞争新优势的重要领域，是实现可再生能源就地消纳、适配新型电力系统的主动选择。</w:t>
      </w:r>
    </w:p>
    <w:p w14:paraId="247083FF">
      <w:pPr>
        <w:ind w:firstLine="560" w:firstLineChars="200"/>
        <w:rPr>
          <w:rFonts w:hint="default"/>
          <w:lang w:val="en-US" w:eastAsia="zh-CN"/>
        </w:rPr>
      </w:pPr>
      <w:r>
        <w:rPr>
          <w:rFonts w:hint="default"/>
          <w:lang w:val="en-US" w:eastAsia="zh-CN"/>
        </w:rPr>
        <w:t>《指南》以推进工业重点行业领域节能降碳为导向，以就近高比例开发利用可再生能源、增强工业用户负荷调节能力为着力点，以促进源网荷储深度协同、智慧管控技术创新应用为主要抓手，积极拓展工业绿色微电网应用场景。《指南》提出推动多能高效互补利用、促进可再生能源就近高比例消纳、加强与电网友好互动、具备工业负荷调节能力、提高数智化系统运行管理水平等五项基本原则。围绕不同工业行业用能特征，将工业绿色微电网的应用场景分为高载能、灵活性、可调节、高可靠四大类，并列举不同场景下的负荷特点、功能需求和应用示例。从严格执行标准规范、加快先进技术应用、确保安全可靠运行、实现经济合理可行等方面提出建设要求。</w:t>
      </w:r>
    </w:p>
    <w:p w14:paraId="1265EF97">
      <w:pPr>
        <w:ind w:firstLine="560" w:firstLineChars="200"/>
        <w:rPr>
          <w:rFonts w:hint="default"/>
          <w:lang w:val="en-US" w:eastAsia="zh-CN"/>
        </w:rPr>
      </w:pPr>
      <w:r>
        <w:rPr>
          <w:rFonts w:hint="default"/>
          <w:lang w:val="en-US" w:eastAsia="zh-CN"/>
        </w:rPr>
        <w:t>《指南》强调技术指引，是贯彻落实《制造业绿色低碳发展行动方案（2025—2027年）》等要求的具体举措，重点是帮助工业企业和园区了解工业绿色微电网建设内容、建设模式、应用场景等，引导市场主体参与实施项目建设与应用。项目建设和运行过程中，由项目核准或备案机关负责项目建设和运行安全监管，项目涉网运行需满足电力行业涉网安全管理要求，并接受电力监管机构监管。同时，应严格执行现行微电网、源网荷储一体化、绿电直连等政策标准要求，明确与大电网的安全责任边界及经济责任。</w:t>
      </w:r>
    </w:p>
    <w:p w14:paraId="107019A9">
      <w:pPr>
        <w:ind w:firstLine="560" w:firstLineChars="200"/>
        <w:rPr>
          <w:rFonts w:hint="default"/>
          <w:lang w:val="en-US" w:eastAsia="zh-CN"/>
        </w:rPr>
      </w:pPr>
      <w:r>
        <w:rPr>
          <w:rFonts w:hint="default"/>
          <w:lang w:val="en-US" w:eastAsia="zh-CN"/>
        </w:rPr>
        <w:t>《指南》的发布，对促进工业绿色微电网高起点、高质量发展，支撑工业用能加速向高效化、低碳化、智能化转型具有重要意义。</w:t>
      </w:r>
    </w:p>
    <w:p w14:paraId="00E94B43">
      <w:pPr>
        <w:ind w:firstLine="560" w:firstLineChars="200"/>
        <w:rPr>
          <w:rFonts w:hint="default"/>
          <w:lang w:val="en-US" w:eastAsia="zh-CN"/>
        </w:rPr>
      </w:pPr>
      <w:r>
        <w:rPr>
          <w:rFonts w:hint="default"/>
          <w:lang w:val="en-US" w:eastAsia="zh-CN"/>
        </w:rPr>
        <w:t>https://www.miit.gov.cn/jgsj/jns/gzdt/art/2026/art_94361c93b840449c95b5a61c2277d8e4.html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1E763D1"/>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AFF7B53"/>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2026-01-09T09:30:43Z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97EEBBF59F3E4A1182F7653E38520D90_13</vt:lpwstr>
  </property>
  <property fmtid="{D5CDD505-2E9C-101B-9397-08002B2CF9AE}" pid="4" name="KSOTemplateDocerSaveRecord">
    <vt:lpwstr>eyJoZGlkIjoiMjIxMjI5YjhlNTAxYzUyOTYyYWZlMGFjYmE4ZTczY2EiLCJ1c2VySWQiOiIxNDU2NzYxMDUwIn0=</vt:lpwstr>
  </property>
</Properties>
</file>