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1B25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一图读懂|《北京市企业名称预防性保护指引（试行）》</w:t>
      </w:r>
    </w:p>
    <w:bookmarkEnd w:id="0"/>
    <w:p w14:paraId="105E5F3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时间:2025-12-31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default"/>
          <w:lang w:val="en-US" w:eastAsia="zh-CN"/>
        </w:rPr>
        <w:t>来源:北京市市场监督管理局</w:t>
      </w:r>
    </w:p>
    <w:p w14:paraId="6125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3819525" cy="8105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48100" cy="8277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38575" cy="4038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https://scjgj.beijing.gov.cn/zwxx/2024zcjd/202512/t20251231_4382728.html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2DD0507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2026-01-04T09:16:17Z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270403FA57B8475C9773E927863ABF07_13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