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D92A9">
      <w:pPr>
        <w:pStyle w:val="10"/>
        <w:bidi w:val="0"/>
        <w:rPr>
          <w:rFonts w:hint="default"/>
          <w:lang w:val="en-US" w:eastAsia="zh-CN"/>
        </w:rPr>
      </w:pPr>
      <w:bookmarkStart w:id="0" w:name="_GoBack"/>
      <w:r>
        <w:rPr>
          <w:rFonts w:hint="default"/>
          <w:lang w:val="en-US" w:eastAsia="zh-CN"/>
        </w:rPr>
        <w:t>关于《关于支持和服务高新技术企业高质量发展的若干措施》的问答解读</w:t>
      </w:r>
    </w:p>
    <w:bookmarkEnd w:id="0"/>
    <w:p w14:paraId="27CE71DD">
      <w:pPr>
        <w:pStyle w:val="8"/>
        <w:bidi w:val="0"/>
        <w:rPr>
          <w:rFonts w:hint="default"/>
          <w:lang w:val="en-US" w:eastAsia="zh-CN"/>
        </w:rPr>
      </w:pPr>
      <w:r>
        <w:rPr>
          <w:rFonts w:hint="default"/>
          <w:lang w:val="en-US" w:eastAsia="zh-CN"/>
        </w:rPr>
        <w:t>日期：2025-10-29 10:52</w:t>
      </w:r>
      <w:r>
        <w:rPr>
          <w:rFonts w:hint="eastAsia"/>
          <w:lang w:val="en-US" w:eastAsia="zh-CN"/>
        </w:rPr>
        <w:t xml:space="preserve">                 </w:t>
      </w:r>
      <w:r>
        <w:rPr>
          <w:rFonts w:hint="default"/>
          <w:lang w:val="en-US" w:eastAsia="zh-CN"/>
        </w:rPr>
        <w:t>来源：北京市门头沟区科学技术委员会</w:t>
      </w:r>
    </w:p>
    <w:p w14:paraId="6EA8549B">
      <w:pPr>
        <w:pStyle w:val="2"/>
        <w:bidi w:val="0"/>
        <w:rPr>
          <w:rFonts w:hint="default"/>
          <w:lang w:val="en-US" w:eastAsia="zh-CN"/>
        </w:rPr>
      </w:pPr>
      <w:r>
        <w:rPr>
          <w:rFonts w:hint="default"/>
          <w:lang w:val="en-US" w:eastAsia="zh-CN"/>
        </w:rPr>
        <w:t>一、《关于支持和服务高新技术企业高质量发展的若干措施》的背景依据是什么？</w:t>
      </w:r>
    </w:p>
    <w:p w14:paraId="0653AB7B">
      <w:pPr>
        <w:ind w:firstLine="560" w:firstLineChars="200"/>
        <w:rPr>
          <w:rFonts w:hint="default"/>
          <w:lang w:val="en-US" w:eastAsia="zh-CN"/>
        </w:rPr>
      </w:pPr>
      <w:r>
        <w:rPr>
          <w:rFonts w:hint="default"/>
          <w:lang w:val="en-US" w:eastAsia="zh-CN"/>
        </w:rPr>
        <w:t>根据《北京市人民政府办公厅印发&lt;北京市关于实施“三大工程”进一步支持和服务高新技术企业发展的若干措施&gt;的通知》（京政办发〔2022〕19号）有关要求，结合我区实际，区科委牵头修订了《关于支持和服务高新技术企业高质量发展的若干措施》。</w:t>
      </w:r>
    </w:p>
    <w:p w14:paraId="4A0868ED">
      <w:pPr>
        <w:pStyle w:val="2"/>
        <w:bidi w:val="0"/>
        <w:rPr>
          <w:rFonts w:hint="default"/>
          <w:lang w:val="en-US" w:eastAsia="zh-CN"/>
        </w:rPr>
      </w:pPr>
      <w:r>
        <w:rPr>
          <w:rFonts w:hint="default"/>
          <w:lang w:val="en-US" w:eastAsia="zh-CN"/>
        </w:rPr>
        <w:t>二、《关于支持和服务高新技术企业高质量发展的若干措施》的目的和意义是什么？</w:t>
      </w:r>
    </w:p>
    <w:p w14:paraId="09E338E1">
      <w:pPr>
        <w:ind w:firstLine="560" w:firstLineChars="200"/>
        <w:rPr>
          <w:rFonts w:hint="default"/>
          <w:lang w:val="en-US" w:eastAsia="zh-CN"/>
        </w:rPr>
      </w:pPr>
      <w:r>
        <w:rPr>
          <w:rFonts w:hint="default"/>
          <w:lang w:val="en-US" w:eastAsia="zh-CN"/>
        </w:rPr>
        <w:t>为加快推进我区高新技术企业高质量发展, 激发企业创新创业活力，实现规模和效能双提升，加快培育地区高新技术企业成长，结合我区实际，特制定本措施。</w:t>
      </w:r>
    </w:p>
    <w:p w14:paraId="15C51E14">
      <w:pPr>
        <w:pStyle w:val="2"/>
        <w:bidi w:val="0"/>
        <w:rPr>
          <w:rFonts w:hint="default"/>
          <w:lang w:val="en-US" w:eastAsia="zh-CN"/>
        </w:rPr>
      </w:pPr>
      <w:r>
        <w:rPr>
          <w:rFonts w:hint="default"/>
          <w:lang w:val="en-US" w:eastAsia="zh-CN"/>
        </w:rPr>
        <w:t>三、《关于支持和服务高新技术企业高质量发展的若干措施》的主要内容是什么？</w:t>
      </w:r>
    </w:p>
    <w:p w14:paraId="0CAB38BA">
      <w:pPr>
        <w:ind w:firstLine="560" w:firstLineChars="200"/>
        <w:rPr>
          <w:rFonts w:hint="default"/>
          <w:lang w:val="en-US" w:eastAsia="zh-CN"/>
        </w:rPr>
      </w:pPr>
      <w:r>
        <w:rPr>
          <w:rFonts w:hint="default"/>
          <w:lang w:val="en-US" w:eastAsia="zh-CN"/>
        </w:rPr>
        <w:t>《若干措施》主要包含四方面内容。</w:t>
      </w:r>
    </w:p>
    <w:p w14:paraId="2CD9ECFD">
      <w:pPr>
        <w:ind w:firstLine="560" w:firstLineChars="200"/>
        <w:rPr>
          <w:rFonts w:hint="default"/>
          <w:lang w:val="en-US" w:eastAsia="zh-CN"/>
        </w:rPr>
      </w:pPr>
      <w:r>
        <w:rPr>
          <w:rFonts w:hint="default"/>
          <w:lang w:val="en-US" w:eastAsia="zh-CN"/>
        </w:rPr>
        <w:t>一是激发市场主体创新活力（共3条）。大力实施“筑基扩容”、“小升规”、“规升强”三大工程，对在门头沟区认定的高新技术企业给予一次性普惠研发支持。支持聚焦门头沟区主导产业核心技术持续加大研发投入，实施技术含量高、示范带动作用强的科技创新项目，根据实施效果给予资金支持。二是支持高能级创新平台建设（共2条）。支持在我区建设创业服务机构，对各级认定的科技企业孵化器给予一次性支持。鼓励外资企业到门头沟区设立研发中心，对推动区域项目深化合作，有效提升经济合作活跃度的，给予资金支持。三是加快科技成果转化应用（共2条）。从创业孵化、技术交易和科学技术奖励多个维度支持各类科技成果到门头沟落地转化，并给予相应的资金支持。四是鼓励企业引进高层次人才（共2条）。支持科技企业积极引进海内外高层次人才，依据我区相关规定享受人才培养、扶持政策。支持企业从高校、科研院所选聘高层次科技人才任“科技副总”，加快培养科研管理高水平人才团队，提升企业技术创新管理能力和市场竞争能力。</w:t>
      </w:r>
    </w:p>
    <w:p w14:paraId="27490774">
      <w:pPr>
        <w:pStyle w:val="2"/>
        <w:bidi w:val="0"/>
        <w:rPr>
          <w:rFonts w:hint="default"/>
          <w:lang w:val="en-US" w:eastAsia="zh-CN"/>
        </w:rPr>
      </w:pPr>
      <w:r>
        <w:rPr>
          <w:rFonts w:hint="default"/>
          <w:lang w:val="en-US" w:eastAsia="zh-CN"/>
        </w:rPr>
        <w:t>四、《关于支持和服务高新技术企业高质量发展的若干措施》所涉及的企业范围有哪些？</w:t>
      </w:r>
    </w:p>
    <w:p w14:paraId="516AFC0F">
      <w:pPr>
        <w:ind w:firstLine="560" w:firstLineChars="200"/>
        <w:rPr>
          <w:rFonts w:hint="default"/>
          <w:lang w:val="en-US" w:eastAsia="zh-CN"/>
        </w:rPr>
      </w:pPr>
      <w:r>
        <w:rPr>
          <w:rFonts w:hint="default"/>
          <w:lang w:val="en-US" w:eastAsia="zh-CN"/>
        </w:rPr>
        <w:t>本措施适用于在门头沟区登记注册，具有独立法人资格，经认定的各级创新创业服务机构和获得国家高新技术企业认定、纳入高新技术企业培育清单的企业。优先支持人工智能、医疗器械、超高清数字视听等产业发展方向。</w:t>
      </w:r>
    </w:p>
    <w:p w14:paraId="45BE2674">
      <w:pPr>
        <w:pStyle w:val="2"/>
        <w:bidi w:val="0"/>
        <w:rPr>
          <w:rFonts w:hint="default"/>
          <w:lang w:val="en-US" w:eastAsia="zh-CN"/>
        </w:rPr>
      </w:pPr>
      <w:r>
        <w:rPr>
          <w:rFonts w:hint="default"/>
          <w:lang w:val="en-US" w:eastAsia="zh-CN"/>
        </w:rPr>
        <w:t>五、《关于支持和服务高新技术企业高质量发展的若干措施》注意事项</w:t>
      </w:r>
    </w:p>
    <w:p w14:paraId="16F7D413">
      <w:pPr>
        <w:ind w:firstLine="560" w:firstLineChars="200"/>
        <w:rPr>
          <w:rFonts w:hint="default"/>
          <w:lang w:val="en-US" w:eastAsia="zh-CN"/>
        </w:rPr>
      </w:pPr>
      <w:r>
        <w:rPr>
          <w:rFonts w:hint="default"/>
          <w:lang w:val="en-US" w:eastAsia="zh-CN"/>
        </w:rPr>
        <w:t>本政策措施自发布之日起执行，有效期至2026年12月31日（2027年兑现2026年支持政策），由北京市门头沟区科学技术委员会会同有关部门负责解释。与其他政策有重叠的，按照“从新、从优、就高、不重复”的原则执行。</w:t>
      </w:r>
    </w:p>
    <w:p w14:paraId="050FD2D7">
      <w:pPr>
        <w:pStyle w:val="2"/>
        <w:bidi w:val="0"/>
        <w:rPr>
          <w:rFonts w:hint="default"/>
          <w:lang w:val="en-US" w:eastAsia="zh-CN"/>
        </w:rPr>
      </w:pPr>
      <w:r>
        <w:rPr>
          <w:rFonts w:hint="default"/>
          <w:lang w:val="en-US" w:eastAsia="zh-CN"/>
        </w:rPr>
        <w:t>六、关键词诠释</w:t>
      </w:r>
    </w:p>
    <w:p w14:paraId="553774A8">
      <w:pPr>
        <w:ind w:firstLine="560" w:firstLineChars="200"/>
        <w:rPr>
          <w:rFonts w:hint="default"/>
          <w:lang w:val="en-US" w:eastAsia="zh-CN"/>
        </w:rPr>
      </w:pPr>
      <w:r>
        <w:rPr>
          <w:rFonts w:hint="default"/>
          <w:lang w:val="en-US" w:eastAsia="zh-CN"/>
        </w:rPr>
        <w:t>高新技术企业：经市级部门认定，经国家备案的高新技术企业。</w:t>
      </w:r>
    </w:p>
    <w:p w14:paraId="14949C67">
      <w:pPr>
        <w:ind w:firstLine="560" w:firstLineChars="200"/>
        <w:rPr>
          <w:rFonts w:hint="default"/>
          <w:lang w:val="en-US" w:eastAsia="zh-CN"/>
        </w:rPr>
      </w:pPr>
      <w:r>
        <w:rPr>
          <w:rFonts w:hint="default"/>
          <w:lang w:val="en-US" w:eastAsia="zh-CN"/>
        </w:rPr>
        <w:t>https://www.bjmtg.gov.cn/bjmtg/2024zcjd/202512/48485c6ea0d94a0aac2914802d9a4287.shtml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DDC3939"/>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2025-12-19T09:34:20Z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DAF0CC3CA1D54437A592A43871D5B0E3_13</vt:lpwstr>
  </property>
  <property fmtid="{D5CDD505-2E9C-101B-9397-08002B2CF9AE}" pid="4" name="KSOTemplateDocerSaveRecord">
    <vt:lpwstr>eyJoZGlkIjoiMjIxMjI5YjhlNTAxYzUyOTYyYWZlMGFjYmE4ZTczY2EiLCJ1c2VySWQiOiIxNDU2NzYxMDUwIn0=</vt:lpwstr>
  </property>
</Properties>
</file>