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C6383">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color w:val="auto"/>
          <w:sz w:val="32"/>
          <w:szCs w:val="32"/>
        </w:rPr>
      </w:pPr>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2</w:t>
      </w:r>
    </w:p>
    <w:p w14:paraId="7C4447F0">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4年度</w:t>
      </w:r>
      <w:bookmarkStart w:id="0" w:name="OLE_LINK1"/>
      <w:r>
        <w:rPr>
          <w:rFonts w:hint="eastAsia" w:ascii="方正小标宋简体" w:hAnsi="方正小标宋简体" w:eastAsia="方正小标宋简体" w:cs="方正小标宋简体"/>
          <w:color w:val="auto"/>
          <w:sz w:val="44"/>
          <w:szCs w:val="44"/>
          <w:lang w:val="en-US" w:eastAsia="zh-CN"/>
        </w:rPr>
        <w:t>职业电竞赛事</w:t>
      </w:r>
      <w:bookmarkEnd w:id="0"/>
      <w:r>
        <w:rPr>
          <w:rFonts w:hint="eastAsia" w:ascii="方正小标宋简体" w:hAnsi="方正小标宋简体" w:eastAsia="方正小标宋简体" w:cs="方正小标宋简体"/>
          <w:color w:val="auto"/>
          <w:sz w:val="44"/>
          <w:szCs w:val="44"/>
          <w:lang w:val="en-US" w:eastAsia="zh-CN"/>
        </w:rPr>
        <w:t>支持</w:t>
      </w:r>
      <w:r>
        <w:rPr>
          <w:rFonts w:hint="eastAsia" w:ascii="方正小标宋简体" w:hAnsi="方正小标宋简体" w:eastAsia="方正小标宋简体" w:cs="方正小标宋简体"/>
          <w:color w:val="auto"/>
          <w:sz w:val="44"/>
          <w:szCs w:val="44"/>
        </w:rPr>
        <w:t>办事指南</w:t>
      </w:r>
    </w:p>
    <w:p w14:paraId="681A984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0F3BD9B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1066FBC0">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auto"/>
          <w:sz w:val="32"/>
          <w:lang w:eastAsia="zh-CN"/>
        </w:rPr>
      </w:pPr>
      <w:r>
        <w:rPr>
          <w:rFonts w:hint="eastAsia" w:ascii="仿宋_GB2312" w:eastAsia="仿宋_GB2312"/>
          <w:bCs/>
          <w:color w:val="auto"/>
          <w:sz w:val="32"/>
          <w:lang w:eastAsia="zh-CN"/>
        </w:rPr>
        <w:t>《北京经济技术开发区关于促进科技与文化产业融合发展的若干措施》（京技管发〔2024〕31号）</w:t>
      </w:r>
      <w:r>
        <w:rPr>
          <w:rFonts w:hint="eastAsia" w:ascii="仿宋_GB2312" w:eastAsia="仿宋_GB2312"/>
          <w:bCs/>
          <w:color w:val="auto"/>
          <w:sz w:val="32"/>
          <w:lang w:val="en-US" w:eastAsia="zh-CN"/>
        </w:rPr>
        <w:t>中第18条支持职业电竞赛事中“</w:t>
      </w:r>
      <w:bookmarkStart w:id="1" w:name="OLE_LINK3"/>
      <w:r>
        <w:rPr>
          <w:rFonts w:hint="eastAsia" w:ascii="仿宋_GB2312" w:eastAsia="仿宋_GB2312"/>
          <w:bCs/>
          <w:color w:val="auto"/>
          <w:sz w:val="32"/>
          <w:lang w:val="en-US" w:eastAsia="zh-CN"/>
        </w:rPr>
        <w:t>支持在亦庄新城举办的国际、全国性职业电竞赛事，经审核认定按照赛事承办方每年度实际支出的赛事奖金、场地租金、赛场搭建、设备租赁费用的30%给予支持，国际电竞赛事活动每年最高支持500万元，全国性电竞赛事活动每年最高支持200万元。”</w:t>
      </w:r>
    </w:p>
    <w:bookmarkEnd w:id="1"/>
    <w:p w14:paraId="373CAC5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72FC037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default" w:ascii="仿宋_GB2312" w:eastAsia="仿宋_GB2312"/>
          <w:bCs/>
          <w:color w:val="auto"/>
          <w:sz w:val="32"/>
          <w:szCs w:val="18"/>
          <w:lang w:val="en-US"/>
        </w:rPr>
      </w:pPr>
      <w:r>
        <w:rPr>
          <w:rFonts w:hint="eastAsia" w:ascii="仿宋_GB2312" w:eastAsia="仿宋_GB2312"/>
          <w:bCs/>
          <w:color w:val="auto"/>
          <w:sz w:val="32"/>
          <w:szCs w:val="18"/>
          <w:lang w:val="en-US" w:eastAsia="zh-CN"/>
        </w:rPr>
        <w:t>2024年度职业电竞赛事支持</w:t>
      </w:r>
    </w:p>
    <w:p w14:paraId="7B3788D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614469FC">
      <w:pPr>
        <w:keepNext w:val="0"/>
        <w:keepLines w:val="0"/>
        <w:pageBreakBefore w:val="0"/>
        <w:kinsoku/>
        <w:wordWrap/>
        <w:overflowPunct/>
        <w:topLinePunct w:val="0"/>
        <w:autoSpaceDE/>
        <w:autoSpaceDN/>
        <w:bidi w:val="0"/>
        <w:spacing w:line="560" w:lineRule="exact"/>
        <w:ind w:firstLine="640" w:firstLineChars="200"/>
        <w:textAlignment w:val="auto"/>
        <w:rPr>
          <w:rStyle w:val="10"/>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bCs/>
          <w:color w:val="auto"/>
          <w:sz w:val="32"/>
          <w:szCs w:val="18"/>
        </w:rPr>
        <w:t>（一）</w:t>
      </w:r>
      <w:r>
        <w:rPr>
          <w:rFonts w:hint="eastAsia" w:ascii="仿宋_GB2312" w:eastAsia="仿宋_GB2312"/>
          <w:bCs/>
          <w:color w:val="000000"/>
          <w:sz w:val="32"/>
          <w:szCs w:val="18"/>
        </w:rPr>
        <w:t>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Style w:val="10"/>
          <w:rFonts w:hint="eastAsia" w:ascii="仿宋_GB2312" w:hAnsi="仿宋_GB2312" w:eastAsia="仿宋_GB2312" w:cs="仿宋_GB2312"/>
          <w:b w:val="0"/>
          <w:bCs/>
          <w:color w:val="auto"/>
          <w:sz w:val="32"/>
          <w:szCs w:val="32"/>
          <w:highlight w:val="none"/>
          <w:lang w:val="en-US" w:eastAsia="zh-CN"/>
        </w:rPr>
        <w:t>。</w:t>
      </w:r>
    </w:p>
    <w:p w14:paraId="79AC4D0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职业电竞赛事应由申报主体在亦庄新城范围内举办，且在2024年度内已按期举办完成。</w:t>
      </w:r>
    </w:p>
    <w:p w14:paraId="2087FD6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auto"/>
          <w:sz w:val="32"/>
          <w:szCs w:val="18"/>
          <w:lang w:eastAsia="zh-CN"/>
        </w:rPr>
      </w:pPr>
      <w:r>
        <w:rPr>
          <w:rFonts w:hint="eastAsia" w:ascii="仿宋_GB2312" w:eastAsia="仿宋_GB2312"/>
          <w:bCs/>
          <w:color w:val="auto"/>
          <w:sz w:val="32"/>
          <w:szCs w:val="18"/>
          <w:lang w:val="en-US" w:eastAsia="zh-CN"/>
        </w:rPr>
        <w:t>（三）</w:t>
      </w:r>
      <w:r>
        <w:rPr>
          <w:rFonts w:hint="eastAsia" w:ascii="仿宋_GB2312" w:eastAsia="仿宋_GB2312"/>
          <w:bCs/>
          <w:color w:val="auto"/>
          <w:sz w:val="32"/>
          <w:szCs w:val="18"/>
        </w:rPr>
        <w:t>国际职业电竞赛事是指由2个以上国家（地区）的职业电竞俱乐部参与、总奖金额1000万元以上的联赛、杯赛赛事；全国职业电竞赛事是指由2个以上国内不同地区注册的职业电竞俱乐部参与、总奖金额300万元以上的联赛、杯赛赛事。其中联赛的支持范围，包括在亦庄新城举办的季赛、决赛、季后赛赛事</w:t>
      </w:r>
      <w:r>
        <w:rPr>
          <w:rFonts w:hint="eastAsia" w:ascii="仿宋_GB2312" w:eastAsia="仿宋_GB2312"/>
          <w:bCs/>
          <w:color w:val="auto"/>
          <w:sz w:val="32"/>
          <w:szCs w:val="18"/>
          <w:lang w:eastAsia="zh-CN"/>
        </w:rPr>
        <w:t>。</w:t>
      </w:r>
    </w:p>
    <w:p w14:paraId="35F76EB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四、支持内容及标准</w:t>
      </w:r>
    </w:p>
    <w:p w14:paraId="42D941BC">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Cs/>
          <w:color w:val="auto"/>
          <w:kern w:val="2"/>
          <w:sz w:val="32"/>
          <w:szCs w:val="18"/>
          <w:lang w:val="en-US" w:eastAsia="zh-CN" w:bidi="ar-SA"/>
        </w:rPr>
      </w:pPr>
      <w:r>
        <w:rPr>
          <w:rFonts w:hint="eastAsia" w:ascii="仿宋_GB2312" w:hAnsi="Times New Roman" w:eastAsia="仿宋_GB2312" w:cs="Times New Roman"/>
          <w:bCs/>
          <w:color w:val="auto"/>
          <w:kern w:val="2"/>
          <w:sz w:val="32"/>
          <w:szCs w:val="18"/>
          <w:lang w:val="en-US" w:eastAsia="zh-CN" w:bidi="ar-SA"/>
        </w:rPr>
        <w:t>（一）支持</w:t>
      </w:r>
      <w:r>
        <w:rPr>
          <w:rFonts w:hint="eastAsia" w:ascii="仿宋_GB2312" w:eastAsia="仿宋_GB2312" w:cs="Times New Roman"/>
          <w:bCs/>
          <w:color w:val="auto"/>
          <w:kern w:val="2"/>
          <w:sz w:val="32"/>
          <w:szCs w:val="18"/>
          <w:lang w:val="en-US" w:eastAsia="zh-CN" w:bidi="ar-SA"/>
        </w:rPr>
        <w:t>申报主体于2024年度</w:t>
      </w:r>
      <w:r>
        <w:rPr>
          <w:rFonts w:hint="eastAsia" w:ascii="仿宋_GB2312" w:hAnsi="Times New Roman" w:eastAsia="仿宋_GB2312" w:cs="Times New Roman"/>
          <w:bCs/>
          <w:color w:val="auto"/>
          <w:kern w:val="2"/>
          <w:sz w:val="32"/>
          <w:szCs w:val="18"/>
          <w:lang w:val="en-US" w:eastAsia="zh-CN" w:bidi="ar-SA"/>
        </w:rPr>
        <w:t>在亦庄新城举办的国际、全国性职业电竞赛事，经审核认定按照赛事承办方每年度实际支出的赛事奖金、场地租金、赛场搭建、设备租赁费用的30%给予支持，国际电竞赛事活动每年最高支持500万元，全国性电竞赛事活动每年最高支持200万元。</w:t>
      </w:r>
    </w:p>
    <w:p w14:paraId="21CB79F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bCs/>
          <w:color w:val="auto"/>
          <w:sz w:val="32"/>
          <w:szCs w:val="18"/>
          <w:lang w:val="en-US" w:eastAsia="zh-CN"/>
        </w:rPr>
        <w:t>（二）</w:t>
      </w:r>
      <w:r>
        <w:rPr>
          <w:rFonts w:hint="eastAsia" w:ascii="仿宋_GB2312" w:hAnsi="仿宋_GB2312" w:eastAsia="仿宋_GB2312" w:cs="仿宋_GB2312"/>
          <w:color w:val="auto"/>
          <w:sz w:val="32"/>
          <w:szCs w:val="32"/>
        </w:rPr>
        <w:t>同一项目符合多项支持内容的，按照从高不重复的原则予以支持。</w:t>
      </w:r>
      <w:r>
        <w:rPr>
          <w:rFonts w:hint="eastAsia" w:ascii="仿宋_GB2312" w:hAnsi="仿宋_GB2312" w:eastAsia="仿宋_GB2312" w:cs="仿宋_GB2312"/>
          <w:sz w:val="32"/>
          <w:szCs w:val="32"/>
        </w:rPr>
        <w:t>支持金额以万元为单位，保留一位小数，低于1万元不予兑现，不足千元部分舍去。</w:t>
      </w:r>
    </w:p>
    <w:p w14:paraId="40709F8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五、申报材料及要求</w:t>
      </w:r>
    </w:p>
    <w:p w14:paraId="00D4BCB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年度职业电竞赛事</w:t>
      </w:r>
      <w:r>
        <w:rPr>
          <w:rFonts w:hint="eastAsia" w:ascii="仿宋_GB2312" w:hAnsi="仿宋_GB2312" w:eastAsia="仿宋_GB2312" w:cs="仿宋_GB2312"/>
          <w:color w:val="auto"/>
          <w:sz w:val="32"/>
          <w:szCs w:val="32"/>
          <w:lang w:val="en-US" w:eastAsia="zh-CN"/>
        </w:rPr>
        <w:t>支持</w:t>
      </w:r>
      <w:r>
        <w:rPr>
          <w:rFonts w:hint="eastAsia" w:ascii="仿宋_GB2312" w:hAnsi="仿宋_GB2312" w:eastAsia="仿宋_GB2312" w:cs="仿宋_GB2312"/>
          <w:color w:val="auto"/>
          <w:sz w:val="32"/>
          <w:szCs w:val="32"/>
        </w:rPr>
        <w:t>申报表，在线填写；</w:t>
      </w:r>
    </w:p>
    <w:p w14:paraId="7B98F6B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1C164E5A">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3.承诺书，下载模板填写，签字</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加盖公章，</w:t>
      </w:r>
      <w:r>
        <w:rPr>
          <w:rFonts w:ascii="仿宋_GB2312" w:hAnsi="仿宋_GB2312" w:eastAsia="仿宋_GB2312" w:cs="仿宋_GB2312"/>
          <w:color w:val="auto"/>
          <w:sz w:val="32"/>
          <w:szCs w:val="32"/>
        </w:rPr>
        <w:t>彩色</w:t>
      </w:r>
      <w:r>
        <w:rPr>
          <w:rFonts w:hint="eastAsia" w:ascii="仿宋_GB2312" w:hAnsi="仿宋_GB2312" w:eastAsia="仿宋_GB2312" w:cs="仿宋_GB2312"/>
          <w:color w:val="auto"/>
          <w:sz w:val="32"/>
          <w:szCs w:val="32"/>
        </w:rPr>
        <w:t>扫描</w:t>
      </w:r>
      <w:r>
        <w:rPr>
          <w:rFonts w:ascii="仿宋_GB2312" w:hAnsi="仿宋_GB2312" w:eastAsia="仿宋_GB2312" w:cs="仿宋_GB2312"/>
          <w:color w:val="auto"/>
          <w:sz w:val="32"/>
          <w:szCs w:val="32"/>
        </w:rPr>
        <w:t>上传</w:t>
      </w:r>
      <w:r>
        <w:rPr>
          <w:rFonts w:hint="eastAsia" w:ascii="仿宋_GB2312" w:hAnsi="仿宋_GB2312" w:eastAsia="仿宋_GB2312" w:cs="仿宋_GB2312"/>
          <w:color w:val="auto"/>
          <w:sz w:val="32"/>
          <w:szCs w:val="32"/>
        </w:rPr>
        <w:t>；</w:t>
      </w:r>
    </w:p>
    <w:p w14:paraId="40B2DF9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4.银行账户信息，下载模板填写，加盖公章，彩色扫描上传；</w:t>
      </w:r>
    </w:p>
    <w:p w14:paraId="6B2A4BF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sz w:val="32"/>
          <w:szCs w:val="32"/>
          <w:lang w:val="en-US" w:eastAsia="zh-CN"/>
        </w:rPr>
        <w:t>申报单位2024年度财务审计报告或财务报表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7F87A05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申报主体举办</w:t>
      </w:r>
      <w:r>
        <w:rPr>
          <w:rFonts w:hint="eastAsia" w:ascii="仿宋_GB2312" w:hAnsi="仿宋_GB2312" w:eastAsia="仿宋_GB2312" w:cs="仿宋_GB2312"/>
          <w:color w:val="auto"/>
          <w:sz w:val="32"/>
          <w:szCs w:val="32"/>
        </w:rPr>
        <w:t>职业电竞赛事</w:t>
      </w:r>
      <w:r>
        <w:rPr>
          <w:rFonts w:hint="eastAsia" w:ascii="仿宋_GB2312" w:hAnsi="仿宋_GB2312" w:eastAsia="仿宋_GB2312" w:cs="仿宋_GB2312"/>
          <w:color w:val="auto"/>
          <w:sz w:val="32"/>
          <w:szCs w:val="32"/>
          <w:lang w:val="en-US" w:eastAsia="zh-CN"/>
        </w:rPr>
        <w:t>方案</w:t>
      </w:r>
      <w:r>
        <w:rPr>
          <w:rFonts w:hint="eastAsia" w:ascii="仿宋_GB2312" w:hAnsi="仿宋_GB2312" w:eastAsia="仿宋_GB2312" w:cs="仿宋_GB2312"/>
          <w:color w:val="auto"/>
          <w:sz w:val="32"/>
          <w:szCs w:val="32"/>
          <w:highlight w:val="none"/>
          <w:lang w:val="en-US" w:eastAsia="zh-CN"/>
        </w:rPr>
        <w:t>，包括但不限于赛事授权</w:t>
      </w:r>
      <w:r>
        <w:rPr>
          <w:rFonts w:hint="eastAsia" w:ascii="仿宋_GB2312" w:hAnsi="仿宋_GB2312" w:eastAsia="仿宋_GB2312" w:cs="仿宋_GB2312"/>
          <w:color w:val="auto"/>
          <w:sz w:val="32"/>
          <w:szCs w:val="32"/>
        </w:rPr>
        <w:t>文件、赛事活动执行方案</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highlight w:val="none"/>
        </w:rPr>
        <w:t>加盖公章，彩色扫描上传；</w:t>
      </w:r>
    </w:p>
    <w:p w14:paraId="51B787D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7.申报主体于2024年度举办</w:t>
      </w:r>
      <w:r>
        <w:rPr>
          <w:rFonts w:hint="eastAsia" w:ascii="仿宋_GB2312" w:hAnsi="仿宋_GB2312" w:eastAsia="仿宋_GB2312" w:cs="仿宋_GB2312"/>
          <w:color w:val="auto"/>
          <w:sz w:val="32"/>
          <w:szCs w:val="32"/>
        </w:rPr>
        <w:t>职业电竞赛事</w:t>
      </w:r>
      <w:r>
        <w:rPr>
          <w:rFonts w:hint="eastAsia" w:ascii="仿宋_GB2312" w:hAnsi="仿宋_GB2312" w:eastAsia="仿宋_GB2312" w:cs="仿宋_GB2312"/>
          <w:color w:val="auto"/>
          <w:sz w:val="32"/>
          <w:szCs w:val="32"/>
          <w:lang w:val="en-US" w:eastAsia="zh-CN"/>
        </w:rPr>
        <w:t>的</w:t>
      </w:r>
      <w:r>
        <w:rPr>
          <w:rFonts w:hint="eastAsia" w:ascii="仿宋_GB2312" w:eastAsia="仿宋_GB2312"/>
          <w:bCs/>
          <w:color w:val="auto"/>
          <w:sz w:val="32"/>
          <w:szCs w:val="18"/>
          <w:lang w:val="en-US" w:eastAsia="zh-CN"/>
        </w:rPr>
        <w:t>实际支出专项审计报告</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原件</w:t>
      </w:r>
      <w:r>
        <w:rPr>
          <w:rFonts w:hint="eastAsia" w:ascii="仿宋_GB2312" w:hAnsi="仿宋_GB2312" w:eastAsia="仿宋_GB2312" w:cs="仿宋_GB2312"/>
          <w:color w:val="auto"/>
          <w:sz w:val="32"/>
          <w:szCs w:val="32"/>
        </w:rPr>
        <w:t>彩色扫描上传；</w:t>
      </w:r>
    </w:p>
    <w:p w14:paraId="7D9F32E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8.申报主体举办职业电竞赛事相关证明材料，包括但不限于</w:t>
      </w:r>
      <w:r>
        <w:rPr>
          <w:rFonts w:hint="eastAsia" w:ascii="仿宋_GB2312" w:hAnsi="仿宋_GB2312" w:eastAsia="仿宋_GB2312" w:cs="仿宋_GB2312"/>
          <w:color w:val="auto"/>
          <w:sz w:val="32"/>
          <w:szCs w:val="32"/>
          <w:lang w:eastAsia="zh-CN"/>
        </w:rPr>
        <w:t>媒体报道、</w:t>
      </w:r>
      <w:r>
        <w:rPr>
          <w:rFonts w:hint="eastAsia" w:ascii="仿宋_GB2312" w:hAnsi="仿宋_GB2312" w:eastAsia="仿宋_GB2312" w:cs="仿宋_GB2312"/>
          <w:color w:val="auto"/>
          <w:sz w:val="32"/>
          <w:szCs w:val="32"/>
          <w:lang w:val="en-US" w:eastAsia="zh-CN"/>
        </w:rPr>
        <w:t>活动</w:t>
      </w:r>
      <w:r>
        <w:rPr>
          <w:rFonts w:hint="eastAsia" w:ascii="仿宋_GB2312" w:hAnsi="仿宋_GB2312" w:eastAsia="仿宋_GB2312" w:cs="仿宋_GB2312"/>
          <w:color w:val="auto"/>
          <w:sz w:val="32"/>
          <w:szCs w:val="32"/>
          <w:lang w:eastAsia="zh-CN"/>
        </w:rPr>
        <w:t>照片、</w:t>
      </w:r>
      <w:r>
        <w:rPr>
          <w:rFonts w:hint="eastAsia" w:ascii="仿宋_GB2312" w:hAnsi="仿宋_GB2312" w:eastAsia="仿宋_GB2312" w:cs="仿宋_GB2312"/>
          <w:color w:val="auto"/>
          <w:sz w:val="32"/>
          <w:szCs w:val="32"/>
          <w:lang w:val="en-US" w:eastAsia="zh-CN"/>
        </w:rPr>
        <w:t>签到表、推广宣传情况等材料，</w:t>
      </w:r>
      <w:r>
        <w:rPr>
          <w:rFonts w:hint="eastAsia" w:ascii="仿宋_GB2312" w:hAnsi="仿宋_GB2312" w:eastAsia="仿宋_GB2312" w:cs="仿宋_GB2312"/>
          <w:color w:val="auto"/>
          <w:sz w:val="32"/>
          <w:szCs w:val="32"/>
        </w:rPr>
        <w:t>加盖公章，彩色扫描上传；</w:t>
      </w:r>
    </w:p>
    <w:p w14:paraId="2AD1B17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9.其他证明材料，原件彩色扫描上传。</w:t>
      </w:r>
    </w:p>
    <w:p w14:paraId="55F5D7D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310585CE">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6846032C">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54D1E2A2">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0B276357">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w:t>
      </w:r>
      <w:r>
        <w:rPr>
          <w:rFonts w:hint="eastAsia" w:ascii="仿宋_GB2312" w:hAnsi="仿宋_GB2312" w:eastAsia="仿宋_GB2312" w:cs="仿宋_GB2312"/>
          <w:color w:val="000000"/>
          <w:kern w:val="2"/>
          <w:sz w:val="32"/>
          <w:szCs w:val="32"/>
          <w:highlight w:val="none"/>
          <w:lang w:val="en-US" w:eastAsia="zh-CN"/>
        </w:rPr>
        <w:t>对</w:t>
      </w:r>
      <w:r>
        <w:rPr>
          <w:rFonts w:hint="eastAsia" w:ascii="仿宋_GB2312" w:hAnsi="仿宋_GB2312" w:eastAsia="仿宋_GB2312" w:cs="仿宋_GB2312"/>
          <w:color w:val="000000"/>
          <w:kern w:val="2"/>
          <w:sz w:val="32"/>
          <w:szCs w:val="32"/>
          <w:highlight w:val="none"/>
        </w:rPr>
        <w:t>申请材料进行评审，评审后将结果上传到系统。</w:t>
      </w:r>
    </w:p>
    <w:p w14:paraId="3638F8AB">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1E028F25">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2F540162">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3998A0A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28EC05A3">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color w:val="auto"/>
          <w:sz w:val="32"/>
          <w:szCs w:val="32"/>
        </w:rPr>
      </w:pPr>
      <w:r>
        <w:rPr>
          <w:rFonts w:hint="eastAsia" w:eastAsia="仿宋_GB2312"/>
          <w:color w:val="auto"/>
          <w:sz w:val="32"/>
          <w:szCs w:val="32"/>
        </w:rPr>
        <w:t>经开区工委宣传文化部</w:t>
      </w:r>
    </w:p>
    <w:p w14:paraId="332C90C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684C99E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color w:val="auto"/>
          <w:sz w:val="32"/>
          <w:szCs w:val="32"/>
        </w:rPr>
      </w:pPr>
      <w:r>
        <w:rPr>
          <w:rFonts w:hint="eastAsia" w:ascii="仿宋_GB2312" w:hAnsi="仿宋_GB2312" w:eastAsia="仿宋_GB2312" w:cs="仿宋_GB2312"/>
          <w:color w:val="auto"/>
          <w:sz w:val="32"/>
          <w:szCs w:val="32"/>
          <w:highlight w:val="none"/>
        </w:rPr>
        <w:t>北京经济技术开发区万源街4号政务服务大厅“政策申报”窗口</w:t>
      </w:r>
    </w:p>
    <w:p w14:paraId="518FDF2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九、申报时间</w:t>
      </w:r>
    </w:p>
    <w:p w14:paraId="5AD16A4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w:t>
      </w:r>
    </w:p>
    <w:p w14:paraId="1139135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十、联系人及联系方式</w:t>
      </w:r>
      <w:bookmarkStart w:id="2" w:name="_GoBack"/>
      <w:bookmarkEnd w:id="2"/>
    </w:p>
    <w:p w14:paraId="7774D45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3E10B724">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79B736D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64DDB70F">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74EF495F">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1E9025F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31513C07">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29CDDFB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十二、特别说明</w:t>
      </w:r>
    </w:p>
    <w:p w14:paraId="39748F81">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olor w:val="auto"/>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NTBlNWM2NGQ5ZjUwNzMzZmIwMTZlMGM1YmI5ODA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3F8C"/>
    <w:rsid w:val="003D6CD5"/>
    <w:rsid w:val="00457B4D"/>
    <w:rsid w:val="004A2DD8"/>
    <w:rsid w:val="004B2A99"/>
    <w:rsid w:val="00525FAA"/>
    <w:rsid w:val="005D68AB"/>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2A54855"/>
    <w:rsid w:val="03056B13"/>
    <w:rsid w:val="032269ED"/>
    <w:rsid w:val="037C128E"/>
    <w:rsid w:val="03987D96"/>
    <w:rsid w:val="03DA1D10"/>
    <w:rsid w:val="03E353C9"/>
    <w:rsid w:val="03FA3EE0"/>
    <w:rsid w:val="04080ECA"/>
    <w:rsid w:val="04737D47"/>
    <w:rsid w:val="048B28B7"/>
    <w:rsid w:val="04BF0B67"/>
    <w:rsid w:val="04FD02EF"/>
    <w:rsid w:val="052A15A0"/>
    <w:rsid w:val="05933C0C"/>
    <w:rsid w:val="05AE227A"/>
    <w:rsid w:val="05AE34A7"/>
    <w:rsid w:val="05D14D85"/>
    <w:rsid w:val="06113255"/>
    <w:rsid w:val="0646239C"/>
    <w:rsid w:val="06B62BF6"/>
    <w:rsid w:val="06D3553D"/>
    <w:rsid w:val="06FE1C51"/>
    <w:rsid w:val="07056611"/>
    <w:rsid w:val="072A1178"/>
    <w:rsid w:val="074E6B15"/>
    <w:rsid w:val="076B0096"/>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FF2B6A"/>
    <w:rsid w:val="0A12715A"/>
    <w:rsid w:val="0A192B78"/>
    <w:rsid w:val="0A7A09DE"/>
    <w:rsid w:val="0A7A6E57"/>
    <w:rsid w:val="0AC666D7"/>
    <w:rsid w:val="0AC92E9E"/>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9C5A08"/>
    <w:rsid w:val="0CD93D42"/>
    <w:rsid w:val="0D0138A5"/>
    <w:rsid w:val="0D105C2D"/>
    <w:rsid w:val="0D920D6C"/>
    <w:rsid w:val="0D9E4973"/>
    <w:rsid w:val="0E2A5EE7"/>
    <w:rsid w:val="0E4A7C7C"/>
    <w:rsid w:val="0E5672B2"/>
    <w:rsid w:val="0E715E03"/>
    <w:rsid w:val="0EAB08F2"/>
    <w:rsid w:val="0EAD26D4"/>
    <w:rsid w:val="0EAF7630"/>
    <w:rsid w:val="0ED00FB9"/>
    <w:rsid w:val="0EE86C1D"/>
    <w:rsid w:val="0F131376"/>
    <w:rsid w:val="0F193762"/>
    <w:rsid w:val="0F221A0E"/>
    <w:rsid w:val="0F8C27FB"/>
    <w:rsid w:val="0F934289"/>
    <w:rsid w:val="0FA61C25"/>
    <w:rsid w:val="0FF757D0"/>
    <w:rsid w:val="101D1DF8"/>
    <w:rsid w:val="102A2753"/>
    <w:rsid w:val="10452D67"/>
    <w:rsid w:val="106018C4"/>
    <w:rsid w:val="10653491"/>
    <w:rsid w:val="10706EEF"/>
    <w:rsid w:val="108773EC"/>
    <w:rsid w:val="1092296C"/>
    <w:rsid w:val="10A01313"/>
    <w:rsid w:val="10C13CF3"/>
    <w:rsid w:val="112A0531"/>
    <w:rsid w:val="117D2BA9"/>
    <w:rsid w:val="118F3527"/>
    <w:rsid w:val="119860A9"/>
    <w:rsid w:val="11CA43B8"/>
    <w:rsid w:val="11D62CBE"/>
    <w:rsid w:val="121B617A"/>
    <w:rsid w:val="1252310C"/>
    <w:rsid w:val="12E52159"/>
    <w:rsid w:val="12EE4885"/>
    <w:rsid w:val="13FC0F05"/>
    <w:rsid w:val="14036F1C"/>
    <w:rsid w:val="14051437"/>
    <w:rsid w:val="14186BE4"/>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F3239"/>
    <w:rsid w:val="173A2F14"/>
    <w:rsid w:val="1776002C"/>
    <w:rsid w:val="17AF44C7"/>
    <w:rsid w:val="17C45824"/>
    <w:rsid w:val="17C86D9E"/>
    <w:rsid w:val="183712FC"/>
    <w:rsid w:val="189F5C4C"/>
    <w:rsid w:val="18DF1E8D"/>
    <w:rsid w:val="18F4326C"/>
    <w:rsid w:val="19612585"/>
    <w:rsid w:val="196452DD"/>
    <w:rsid w:val="197A58E4"/>
    <w:rsid w:val="19816DB3"/>
    <w:rsid w:val="19856C91"/>
    <w:rsid w:val="19B34DCD"/>
    <w:rsid w:val="19B8431B"/>
    <w:rsid w:val="19DB76A4"/>
    <w:rsid w:val="19EC634B"/>
    <w:rsid w:val="19F32EB8"/>
    <w:rsid w:val="1A0B0313"/>
    <w:rsid w:val="1A0C4625"/>
    <w:rsid w:val="1AB25631"/>
    <w:rsid w:val="1AC627E0"/>
    <w:rsid w:val="1AF423CA"/>
    <w:rsid w:val="1B1501FB"/>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0E2312"/>
    <w:rsid w:val="1E3278A5"/>
    <w:rsid w:val="1E447CA3"/>
    <w:rsid w:val="1E994D8E"/>
    <w:rsid w:val="1EBB252A"/>
    <w:rsid w:val="1ED331FC"/>
    <w:rsid w:val="1ED6487D"/>
    <w:rsid w:val="1EFD05E9"/>
    <w:rsid w:val="1EFE4506"/>
    <w:rsid w:val="1F0F5065"/>
    <w:rsid w:val="1F1A6E4C"/>
    <w:rsid w:val="1F7E5737"/>
    <w:rsid w:val="1FA01FC8"/>
    <w:rsid w:val="1FA9441B"/>
    <w:rsid w:val="1FB0019C"/>
    <w:rsid w:val="1FD76126"/>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3372A2"/>
    <w:rsid w:val="24AB3E23"/>
    <w:rsid w:val="2533284F"/>
    <w:rsid w:val="25594938"/>
    <w:rsid w:val="255A71D2"/>
    <w:rsid w:val="25DF3625"/>
    <w:rsid w:val="261E412A"/>
    <w:rsid w:val="26446E71"/>
    <w:rsid w:val="26602BD3"/>
    <w:rsid w:val="271005EA"/>
    <w:rsid w:val="2727206E"/>
    <w:rsid w:val="273249D2"/>
    <w:rsid w:val="273D6D1B"/>
    <w:rsid w:val="275E3649"/>
    <w:rsid w:val="2768133E"/>
    <w:rsid w:val="27721755"/>
    <w:rsid w:val="27874815"/>
    <w:rsid w:val="281D6715"/>
    <w:rsid w:val="286873FE"/>
    <w:rsid w:val="288627FF"/>
    <w:rsid w:val="28942D3D"/>
    <w:rsid w:val="28A332E9"/>
    <w:rsid w:val="28EE1C5E"/>
    <w:rsid w:val="29857C2F"/>
    <w:rsid w:val="29D97CC6"/>
    <w:rsid w:val="2A1D0ADC"/>
    <w:rsid w:val="2A5F7219"/>
    <w:rsid w:val="2A914AD2"/>
    <w:rsid w:val="2AB25697"/>
    <w:rsid w:val="2ACF7AB8"/>
    <w:rsid w:val="2B035A09"/>
    <w:rsid w:val="2B2024A7"/>
    <w:rsid w:val="2B756EE9"/>
    <w:rsid w:val="2B833D12"/>
    <w:rsid w:val="2B9B0A58"/>
    <w:rsid w:val="2BA7027E"/>
    <w:rsid w:val="2BAA42F0"/>
    <w:rsid w:val="2BAB54C5"/>
    <w:rsid w:val="2BC05AF8"/>
    <w:rsid w:val="2BE54D11"/>
    <w:rsid w:val="2C522435"/>
    <w:rsid w:val="2C777F9A"/>
    <w:rsid w:val="2CC57609"/>
    <w:rsid w:val="2D2A602F"/>
    <w:rsid w:val="2D6B0ED7"/>
    <w:rsid w:val="2D715293"/>
    <w:rsid w:val="2D7649D6"/>
    <w:rsid w:val="2DA064BD"/>
    <w:rsid w:val="2E155772"/>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1FC734E"/>
    <w:rsid w:val="3201564A"/>
    <w:rsid w:val="321C265E"/>
    <w:rsid w:val="32343B0A"/>
    <w:rsid w:val="32A70709"/>
    <w:rsid w:val="32D72E30"/>
    <w:rsid w:val="32FE69F0"/>
    <w:rsid w:val="33226E62"/>
    <w:rsid w:val="336B64D8"/>
    <w:rsid w:val="33D147E6"/>
    <w:rsid w:val="33E75D8A"/>
    <w:rsid w:val="33F4CAF3"/>
    <w:rsid w:val="341807F9"/>
    <w:rsid w:val="342465E2"/>
    <w:rsid w:val="34346877"/>
    <w:rsid w:val="3469157A"/>
    <w:rsid w:val="347C0671"/>
    <w:rsid w:val="34B21D2C"/>
    <w:rsid w:val="34E04A84"/>
    <w:rsid w:val="34E65163"/>
    <w:rsid w:val="35135498"/>
    <w:rsid w:val="35465824"/>
    <w:rsid w:val="354F42BD"/>
    <w:rsid w:val="3573124D"/>
    <w:rsid w:val="359527A9"/>
    <w:rsid w:val="35B01629"/>
    <w:rsid w:val="35B56B4B"/>
    <w:rsid w:val="35C778E7"/>
    <w:rsid w:val="36744D66"/>
    <w:rsid w:val="36E95DAE"/>
    <w:rsid w:val="371371E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B9208B"/>
    <w:rsid w:val="3BDA7DE5"/>
    <w:rsid w:val="3C2F160E"/>
    <w:rsid w:val="3C5F033A"/>
    <w:rsid w:val="3C9F7EF3"/>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4077B9"/>
    <w:rsid w:val="3F580B78"/>
    <w:rsid w:val="3FBC30E1"/>
    <w:rsid w:val="3FD009E6"/>
    <w:rsid w:val="3FD4707F"/>
    <w:rsid w:val="3FFD57FE"/>
    <w:rsid w:val="3FFF12EB"/>
    <w:rsid w:val="40945F74"/>
    <w:rsid w:val="409D6C96"/>
    <w:rsid w:val="40A50B34"/>
    <w:rsid w:val="40C0750A"/>
    <w:rsid w:val="40DE6ABE"/>
    <w:rsid w:val="410178FA"/>
    <w:rsid w:val="41830E01"/>
    <w:rsid w:val="419C40BE"/>
    <w:rsid w:val="41A74911"/>
    <w:rsid w:val="41C24932"/>
    <w:rsid w:val="41EE09AD"/>
    <w:rsid w:val="4206052A"/>
    <w:rsid w:val="42271CA4"/>
    <w:rsid w:val="423A4979"/>
    <w:rsid w:val="42553C37"/>
    <w:rsid w:val="4275720E"/>
    <w:rsid w:val="42AB283A"/>
    <w:rsid w:val="43465CD3"/>
    <w:rsid w:val="44256103"/>
    <w:rsid w:val="444923EA"/>
    <w:rsid w:val="445E5EFA"/>
    <w:rsid w:val="445F1218"/>
    <w:rsid w:val="44993F4E"/>
    <w:rsid w:val="44F72146"/>
    <w:rsid w:val="45236DFE"/>
    <w:rsid w:val="45276590"/>
    <w:rsid w:val="452B2CE7"/>
    <w:rsid w:val="459F5DC5"/>
    <w:rsid w:val="45C327BF"/>
    <w:rsid w:val="45DB5022"/>
    <w:rsid w:val="45DE6545"/>
    <w:rsid w:val="4634401A"/>
    <w:rsid w:val="46352992"/>
    <w:rsid w:val="467F7F60"/>
    <w:rsid w:val="469D497C"/>
    <w:rsid w:val="46C07C6D"/>
    <w:rsid w:val="46C636FC"/>
    <w:rsid w:val="46D46FCB"/>
    <w:rsid w:val="46F44A2C"/>
    <w:rsid w:val="473F0C29"/>
    <w:rsid w:val="474159DD"/>
    <w:rsid w:val="48045B63"/>
    <w:rsid w:val="484F2842"/>
    <w:rsid w:val="49006A23"/>
    <w:rsid w:val="492A682B"/>
    <w:rsid w:val="49596A53"/>
    <w:rsid w:val="49AE2D68"/>
    <w:rsid w:val="49C3065B"/>
    <w:rsid w:val="49CF51F6"/>
    <w:rsid w:val="49FE7196"/>
    <w:rsid w:val="4A3148B7"/>
    <w:rsid w:val="4A3C2091"/>
    <w:rsid w:val="4A41431D"/>
    <w:rsid w:val="4A8A325C"/>
    <w:rsid w:val="4AB84ECB"/>
    <w:rsid w:val="4ACF4B48"/>
    <w:rsid w:val="4AEB69AD"/>
    <w:rsid w:val="4AEC3A39"/>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B34952"/>
    <w:rsid w:val="4EC00C5A"/>
    <w:rsid w:val="4ED13285"/>
    <w:rsid w:val="4F0A4EE8"/>
    <w:rsid w:val="4F1A6236"/>
    <w:rsid w:val="4F6A651C"/>
    <w:rsid w:val="4F721548"/>
    <w:rsid w:val="4FA73771"/>
    <w:rsid w:val="4FD4377C"/>
    <w:rsid w:val="4FFC2D7C"/>
    <w:rsid w:val="4FFF4188"/>
    <w:rsid w:val="4FFF4C5B"/>
    <w:rsid w:val="50086DF5"/>
    <w:rsid w:val="508E5ABD"/>
    <w:rsid w:val="50A336F5"/>
    <w:rsid w:val="50BD79A6"/>
    <w:rsid w:val="50CB50EC"/>
    <w:rsid w:val="510D1202"/>
    <w:rsid w:val="515D1CF8"/>
    <w:rsid w:val="515D60CA"/>
    <w:rsid w:val="51714084"/>
    <w:rsid w:val="51AA50CA"/>
    <w:rsid w:val="51D12D37"/>
    <w:rsid w:val="51E46BB8"/>
    <w:rsid w:val="521F04B3"/>
    <w:rsid w:val="528E639D"/>
    <w:rsid w:val="52AD22A4"/>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F4F8A"/>
    <w:rsid w:val="55F24B54"/>
    <w:rsid w:val="56011E88"/>
    <w:rsid w:val="56115940"/>
    <w:rsid w:val="56352C58"/>
    <w:rsid w:val="563F0589"/>
    <w:rsid w:val="56416453"/>
    <w:rsid w:val="56727B5F"/>
    <w:rsid w:val="568B320E"/>
    <w:rsid w:val="568B7A5E"/>
    <w:rsid w:val="569461B3"/>
    <w:rsid w:val="57072CB9"/>
    <w:rsid w:val="57513E95"/>
    <w:rsid w:val="575E2A63"/>
    <w:rsid w:val="57672FF6"/>
    <w:rsid w:val="576C2AED"/>
    <w:rsid w:val="578A3D39"/>
    <w:rsid w:val="579A20B9"/>
    <w:rsid w:val="57AC1128"/>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CD0EF5"/>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E95CC1"/>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8A26C9"/>
    <w:rsid w:val="60B75222"/>
    <w:rsid w:val="610966E3"/>
    <w:rsid w:val="61A06ED8"/>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E95A9F"/>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DD3745"/>
    <w:rsid w:val="6CE4440B"/>
    <w:rsid w:val="6CF73991"/>
    <w:rsid w:val="6D0154E8"/>
    <w:rsid w:val="6D034EA5"/>
    <w:rsid w:val="6D1334E9"/>
    <w:rsid w:val="6D231259"/>
    <w:rsid w:val="6D3203DA"/>
    <w:rsid w:val="6D5B79BC"/>
    <w:rsid w:val="6DCF4058"/>
    <w:rsid w:val="6DE9238A"/>
    <w:rsid w:val="6E2B147B"/>
    <w:rsid w:val="6E33263A"/>
    <w:rsid w:val="6E3A4154"/>
    <w:rsid w:val="6E7E06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4E76FE8"/>
    <w:rsid w:val="74FD4DFC"/>
    <w:rsid w:val="75250E17"/>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3C296C"/>
    <w:rsid w:val="79625DF3"/>
    <w:rsid w:val="79714C66"/>
    <w:rsid w:val="79D31F15"/>
    <w:rsid w:val="79D657CC"/>
    <w:rsid w:val="79E40A04"/>
    <w:rsid w:val="7A151811"/>
    <w:rsid w:val="7A6D61E2"/>
    <w:rsid w:val="7A960403"/>
    <w:rsid w:val="7B0003D2"/>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B95054"/>
    <w:rsid w:val="7DFC4CA2"/>
    <w:rsid w:val="7E137B54"/>
    <w:rsid w:val="7E4E0E62"/>
    <w:rsid w:val="7E503B32"/>
    <w:rsid w:val="7E541447"/>
    <w:rsid w:val="7E6B7B24"/>
    <w:rsid w:val="7E757D8F"/>
    <w:rsid w:val="7E782A8A"/>
    <w:rsid w:val="7EFFFA7B"/>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16">
    <w:name w:val="网格型1"/>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1549</Words>
  <Characters>1752</Characters>
  <Lines>13</Lines>
  <Paragraphs>3</Paragraphs>
  <TotalTime>4</TotalTime>
  <ScaleCrop>false</ScaleCrop>
  <LinksUpToDate>false</LinksUpToDate>
  <CharactersWithSpaces>1753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2023-05-11T08:24:00Z</cp:lastPrinted>
  <dcterms:modified xsi:type="dcterms:W3CDTF">2025-11-14T09:26:28Z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A9B7189E3E414CB1AF6567A510495CD6_13</vt:lpwstr>
  </property>
  <property fmtid="{D5CDD505-2E9C-101B-9397-08002B2CF9AE}" pid="4" name="KSOTemplateDocerSaveRecord">
    <vt:lpwstr>eyJoZGlkIjoiYmExMTEyMzlhM2ZkMjU2YzAyOTFjZDEwODIzNDE3Y2YiLCJ1c2VySWQiOiIzNTgxMjQ0NTQifQ==</vt:lpwstr>
  </property>
</Properties>
</file>