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3B43">
      <w:pPr>
        <w:spacing w:line="560" w:lineRule="exact"/>
        <w:jc w:val="left"/>
        <w:outlineLvl w:val="0"/>
        <w:rPr>
          <w:rFonts w:ascii="黑体" w:hAnsi="黑体" w:eastAsia="黑体" w:cs="方正小标宋简体"/>
          <w:spacing w:val="-11"/>
          <w:sz w:val="32"/>
          <w:szCs w:val="44"/>
          <w:highlight w:val="none"/>
        </w:rPr>
      </w:pPr>
      <w:r>
        <w:rPr>
          <w:rFonts w:hint="eastAsia" w:ascii="黑体" w:hAnsi="黑体" w:eastAsia="黑体" w:cs="方正小标宋简体"/>
          <w:spacing w:val="-11"/>
          <w:sz w:val="32"/>
          <w:szCs w:val="44"/>
          <w:highlight w:val="none"/>
        </w:rPr>
        <w:t>附件2</w:t>
      </w:r>
    </w:p>
    <w:p w14:paraId="15652975">
      <w:pPr>
        <w:spacing w:line="560" w:lineRule="exact"/>
        <w:jc w:val="left"/>
        <w:outlineLvl w:val="0"/>
        <w:rPr>
          <w:rFonts w:ascii="黑体" w:hAnsi="黑体" w:eastAsia="黑体" w:cs="方正小标宋简体"/>
          <w:spacing w:val="-11"/>
          <w:sz w:val="32"/>
          <w:szCs w:val="44"/>
          <w:highlight w:val="none"/>
        </w:rPr>
      </w:pPr>
    </w:p>
    <w:p w14:paraId="362E0F3A">
      <w:pPr>
        <w:spacing w:line="540" w:lineRule="exact"/>
        <w:jc w:val="center"/>
        <w:rPr>
          <w:rFonts w:hint="eastAsia" w:ascii="方正小标宋简体" w:hAnsi="方正小标宋简体" w:eastAsia="方正小标宋简体" w:cs="方正小标宋简体"/>
          <w:spacing w:val="0"/>
          <w:w w:val="96"/>
          <w:sz w:val="44"/>
          <w:szCs w:val="44"/>
          <w:highlight w:val="none"/>
        </w:rPr>
      </w:pPr>
      <w:r>
        <w:rPr>
          <w:rFonts w:hint="eastAsia" w:ascii="方正小标宋简体" w:hAnsi="Calibri" w:eastAsia="方正小标宋简体" w:cs="Times New Roman"/>
          <w:sz w:val="44"/>
          <w:szCs w:val="44"/>
          <w:highlight w:val="none"/>
        </w:rPr>
        <w:t>《</w:t>
      </w:r>
      <w:r>
        <w:rPr>
          <w:rFonts w:hint="eastAsia" w:ascii="方正小标宋简体" w:hAnsi="方正小标宋简体" w:eastAsia="方正小标宋简体" w:cs="方正小标宋简体"/>
          <w:spacing w:val="0"/>
          <w:w w:val="96"/>
          <w:sz w:val="44"/>
          <w:szCs w:val="44"/>
          <w:highlight w:val="none"/>
        </w:rPr>
        <w:t>北京市海外知识产权维权援助工作办法</w:t>
      </w:r>
    </w:p>
    <w:p w14:paraId="282D00D6">
      <w:pPr>
        <w:spacing w:line="540" w:lineRule="exact"/>
        <w:jc w:val="center"/>
        <w:rPr>
          <w:rFonts w:ascii="方正小标宋简体" w:hAnsi="Calibri" w:eastAsia="方正小标宋简体" w:cs="Times New Roman"/>
          <w:sz w:val="44"/>
          <w:szCs w:val="44"/>
          <w:highlight w:val="none"/>
        </w:rPr>
      </w:pPr>
      <w:r>
        <w:rPr>
          <w:rFonts w:hint="eastAsia" w:ascii="方正小标宋简体" w:hAnsi="方正小标宋简体" w:eastAsia="方正小标宋简体" w:cs="方正小标宋简体"/>
          <w:spacing w:val="0"/>
          <w:w w:val="96"/>
          <w:sz w:val="44"/>
          <w:szCs w:val="44"/>
          <w:highlight w:val="none"/>
        </w:rPr>
        <w:t>（征求意见稿）</w:t>
      </w:r>
      <w:r>
        <w:rPr>
          <w:rFonts w:hint="eastAsia" w:ascii="方正小标宋简体" w:hAnsi="Calibri" w:eastAsia="方正小标宋简体" w:cs="Times New Roman"/>
          <w:sz w:val="44"/>
          <w:szCs w:val="44"/>
          <w:highlight w:val="none"/>
        </w:rPr>
        <w:t>》起草说明</w:t>
      </w:r>
    </w:p>
    <w:p w14:paraId="5AEF7E8D">
      <w:pPr>
        <w:spacing w:line="540" w:lineRule="exact"/>
        <w:rPr>
          <w:rFonts w:ascii="宋体" w:hAnsi="宋体" w:eastAsia="宋体"/>
          <w:sz w:val="32"/>
          <w:szCs w:val="32"/>
          <w:highlight w:val="none"/>
        </w:rPr>
      </w:pPr>
    </w:p>
    <w:p w14:paraId="12BFE309">
      <w:pPr>
        <w:pStyle w:val="3"/>
        <w:numPr>
          <w:ilvl w:val="0"/>
          <w:numId w:val="1"/>
        </w:numPr>
        <w:spacing w:before="0" w:after="0" w:line="540" w:lineRule="exact"/>
        <w:rPr>
          <w:rFonts w:ascii="黑体" w:hAnsi="黑体" w:eastAsia="黑体"/>
          <w:b w:val="0"/>
          <w:sz w:val="32"/>
          <w:szCs w:val="32"/>
          <w:highlight w:val="none"/>
        </w:rPr>
      </w:pPr>
      <w:r>
        <w:rPr>
          <w:rFonts w:hint="eastAsia" w:ascii="黑体" w:hAnsi="黑体" w:eastAsia="黑体"/>
          <w:b w:val="0"/>
          <w:sz w:val="32"/>
          <w:szCs w:val="32"/>
          <w:highlight w:val="none"/>
        </w:rPr>
        <w:t>制定背景</w:t>
      </w:r>
    </w:p>
    <w:p w14:paraId="724E6EE3">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习近平总书记在十九届中央政治局第二十五次集体学习时的讲话指出，要形成高效的国际知识产权风险预警和应急机制，建设知识产权涉外风险防控体系，加大对我国企业海外知识产权维权援助。北京市高度重视海外知识产权维权援助工作，建立“央地协同、合作共享、横向互联、纵向互通</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的海外知识产权维权援助工作体系，在全国率先提供应对指导+信息服务+专家支持+人才服务+分析研究“五位一体”的海外知识产权维权综合服务，为北京地区“走出去”企业提供闭环式海外知识产权维权服务</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2020年，北京市知识产权维权援助中心获批成为第一批海外知识产权纠纷应对指导地方分中心，开展海外知识产权纠纷应对指导，为企业提供公益性指导服务。2024年10月</w:t>
      </w:r>
      <w:r>
        <w:rPr>
          <w:rFonts w:hint="eastAsia" w:ascii="仿宋_GB2312" w:hAnsi="Times New Roman" w:eastAsia="仿宋_GB2312" w:cs="Times New Roman"/>
          <w:sz w:val="32"/>
          <w:szCs w:val="32"/>
          <w:highlight w:val="none"/>
          <w:lang w:eastAsia="zh-CN"/>
        </w:rPr>
        <w:t>，北京市知识产权局</w:t>
      </w:r>
      <w:r>
        <w:rPr>
          <w:rFonts w:hint="eastAsia" w:ascii="仿宋_GB2312" w:hAnsi="Times New Roman" w:eastAsia="仿宋_GB2312" w:cs="Times New Roman"/>
          <w:sz w:val="32"/>
          <w:szCs w:val="32"/>
          <w:highlight w:val="none"/>
        </w:rPr>
        <w:t>印发《北京市海外知识产权维权援助工作管理办法（试行）》</w:t>
      </w:r>
      <w:r>
        <w:rPr>
          <w:rFonts w:hint="eastAsia" w:ascii="仿宋_GB2312" w:hAnsi="仿宋_GB2312" w:eastAsia="仿宋_GB2312" w:cs="仿宋_GB2312"/>
          <w:sz w:val="32"/>
          <w:szCs w:val="32"/>
          <w:highlight w:val="none"/>
          <w:lang w:val="en-US" w:eastAsia="zh-CN"/>
        </w:rPr>
        <w:t>（以</w:t>
      </w:r>
      <w:r>
        <w:rPr>
          <w:rFonts w:hint="eastAsia" w:ascii="仿宋_GB2312" w:hAnsi="Times New Roman" w:eastAsia="仿宋_GB2312" w:cs="Times New Roman"/>
          <w:sz w:val="32"/>
          <w:szCs w:val="32"/>
          <w:highlight w:val="none"/>
          <w:lang w:val="en-US" w:eastAsia="zh-CN"/>
        </w:rPr>
        <w:t>下简称“《试行办法》”）</w:t>
      </w:r>
      <w:r>
        <w:rPr>
          <w:rFonts w:hint="eastAsia" w:ascii="仿宋_GB2312" w:hAnsi="Times New Roman" w:eastAsia="仿宋_GB2312" w:cs="Times New Roman"/>
          <w:sz w:val="32"/>
          <w:szCs w:val="32"/>
          <w:highlight w:val="none"/>
        </w:rPr>
        <w:t>，推动海外知识产权维权援助工作制度化、</w:t>
      </w:r>
      <w:bookmarkStart w:id="0" w:name="_GoBack"/>
      <w:r>
        <w:rPr>
          <w:rFonts w:hint="eastAsia" w:ascii="仿宋_GB2312" w:hAnsi="Times New Roman" w:eastAsia="仿宋_GB2312" w:cs="Times New Roman"/>
          <w:sz w:val="32"/>
          <w:szCs w:val="32"/>
          <w:highlight w:val="none"/>
        </w:rPr>
        <w:t>规划化</w:t>
      </w:r>
      <w:bookmarkEnd w:id="0"/>
      <w:r>
        <w:rPr>
          <w:rFonts w:hint="eastAsia" w:ascii="仿宋_GB2312" w:hAnsi="Times New Roman" w:eastAsia="仿宋_GB2312" w:cs="Times New Roman"/>
          <w:sz w:val="32"/>
          <w:szCs w:val="32"/>
          <w:highlight w:val="none"/>
        </w:rPr>
        <w:t>开展</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试行期一年</w:t>
      </w:r>
      <w:r>
        <w:rPr>
          <w:rFonts w:hint="eastAsia" w:ascii="仿宋_GB2312" w:hAnsi="Times New Roman" w:eastAsia="仿宋_GB2312" w:cs="Times New Roman"/>
          <w:sz w:val="32"/>
          <w:szCs w:val="32"/>
          <w:highlight w:val="none"/>
        </w:rPr>
        <w:t>。试行</w:t>
      </w:r>
      <w:r>
        <w:rPr>
          <w:rFonts w:hint="eastAsia" w:ascii="仿宋_GB2312" w:hAnsi="Times New Roman" w:eastAsia="仿宋_GB2312" w:cs="Times New Roman"/>
          <w:sz w:val="32"/>
          <w:szCs w:val="32"/>
          <w:highlight w:val="none"/>
          <w:lang w:eastAsia="zh-CN"/>
        </w:rPr>
        <w:t>期间</w:t>
      </w:r>
      <w:r>
        <w:rPr>
          <w:rFonts w:hint="eastAsia" w:ascii="仿宋_GB2312" w:hAnsi="Times New Roman" w:eastAsia="仿宋_GB2312" w:cs="Times New Roman"/>
          <w:sz w:val="32"/>
          <w:szCs w:val="32"/>
          <w:highlight w:val="none"/>
        </w:rPr>
        <w:t>，我市</w:t>
      </w:r>
      <w:r>
        <w:rPr>
          <w:rFonts w:hint="eastAsia" w:ascii="仿宋_GB2312" w:hAnsi="Times New Roman" w:eastAsia="仿宋_GB2312" w:cs="Times New Roman"/>
          <w:b w:val="0"/>
          <w:sz w:val="32"/>
          <w:szCs w:val="32"/>
          <w:highlight w:val="none"/>
        </w:rPr>
        <w:t>上下联动、区域协作的海外纠纷应对指导工作机制更加完善</w:t>
      </w:r>
      <w:r>
        <w:rPr>
          <w:rFonts w:hint="eastAsia" w:ascii="仿宋_GB2312" w:hAnsi="Times New Roman" w:eastAsia="仿宋_GB2312" w:cs="Times New Roman"/>
          <w:b w:val="0"/>
          <w:sz w:val="32"/>
          <w:szCs w:val="32"/>
          <w:highlight w:val="none"/>
          <w:lang w:eastAsia="zh-CN"/>
        </w:rPr>
        <w:t>，</w:t>
      </w:r>
      <w:r>
        <w:rPr>
          <w:rFonts w:hint="eastAsia" w:ascii="仿宋_GB2312" w:hAnsi="Times New Roman" w:eastAsia="仿宋_GB2312" w:cs="Times New Roman"/>
          <w:b w:val="0"/>
          <w:sz w:val="32"/>
          <w:szCs w:val="32"/>
          <w:highlight w:val="none"/>
        </w:rPr>
        <w:t>多元主体参与、共建共享的海外纠纷应对指导服务更加优化</w:t>
      </w:r>
      <w:r>
        <w:rPr>
          <w:rFonts w:hint="eastAsia" w:ascii="仿宋_GB2312" w:hAnsi="Times New Roman" w:eastAsia="仿宋_GB2312" w:cs="Times New Roman"/>
          <w:b w:val="0"/>
          <w:sz w:val="32"/>
          <w:szCs w:val="32"/>
          <w:highlight w:val="none"/>
          <w:lang w:eastAsia="zh-CN"/>
        </w:rPr>
        <w:t>，</w:t>
      </w:r>
      <w:r>
        <w:rPr>
          <w:rFonts w:hint="eastAsia" w:ascii="仿宋_GB2312" w:hAnsi="Times New Roman" w:eastAsia="仿宋_GB2312" w:cs="Times New Roman"/>
          <w:b w:val="0"/>
          <w:sz w:val="32"/>
          <w:szCs w:val="32"/>
          <w:highlight w:val="none"/>
        </w:rPr>
        <w:t>聚焦应对新领域新业态、解决新问题形成一批标志性公共服务产品</w:t>
      </w:r>
      <w:r>
        <w:rPr>
          <w:rFonts w:hint="eastAsia" w:ascii="仿宋_GB2312" w:hAnsi="Times New Roman" w:eastAsia="仿宋_GB2312" w:cs="Times New Roman"/>
          <w:b w:val="0"/>
          <w:sz w:val="32"/>
          <w:szCs w:val="32"/>
          <w:highlight w:val="none"/>
          <w:lang w:eastAsia="zh-CN"/>
        </w:rPr>
        <w:t>，</w:t>
      </w:r>
      <w:r>
        <w:rPr>
          <w:rFonts w:hint="eastAsia" w:ascii="仿宋_GB2312" w:hAnsi="Times New Roman" w:eastAsia="仿宋_GB2312" w:cs="Times New Roman"/>
          <w:b w:val="0"/>
          <w:bCs w:val="0"/>
          <w:sz w:val="32"/>
          <w:szCs w:val="32"/>
          <w:highlight w:val="none"/>
        </w:rPr>
        <w:t>“一站式”海外知识产权保护数据资源平台</w:t>
      </w:r>
      <w:r>
        <w:rPr>
          <w:rFonts w:hint="eastAsia" w:ascii="仿宋_GB2312" w:hAnsi="Times New Roman" w:eastAsia="仿宋_GB2312" w:cs="Times New Roman"/>
          <w:b w:val="0"/>
          <w:bCs w:val="0"/>
          <w:sz w:val="32"/>
          <w:szCs w:val="32"/>
          <w:highlight w:val="none"/>
          <w:lang w:eastAsia="zh-CN"/>
        </w:rPr>
        <w:t>进一步丰富，</w:t>
      </w:r>
      <w:r>
        <w:rPr>
          <w:rFonts w:hint="eastAsia" w:ascii="仿宋_GB2312" w:hAnsi="Times New Roman" w:eastAsia="仿宋_GB2312" w:cs="Times New Roman"/>
          <w:sz w:val="32"/>
          <w:szCs w:val="32"/>
          <w:highlight w:val="none"/>
        </w:rPr>
        <w:t>海外知识产权维权援助工作取得积极成效。</w:t>
      </w:r>
    </w:p>
    <w:p w14:paraId="2FB9663F">
      <w:pPr>
        <w:spacing w:line="56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为深入贯彻落实《国务院关于涉外知识产权纠纷处理的规定》和国家知识产权局等7部门《关于进一步优化知识产权领域营商环境的意见》</w:t>
      </w:r>
      <w:r>
        <w:rPr>
          <w:rFonts w:hint="eastAsia" w:ascii="仿宋_GB2312" w:hAnsi="仿宋_GB2312" w:eastAsia="仿宋_GB2312" w:cs="仿宋_GB2312"/>
          <w:sz w:val="32"/>
          <w:szCs w:val="32"/>
          <w:highlight w:val="none"/>
          <w:lang w:eastAsia="zh-CN"/>
        </w:rPr>
        <w:t>等有关文件要求</w:t>
      </w:r>
      <w:r>
        <w:rPr>
          <w:rFonts w:hint="eastAsia" w:ascii="仿宋_GB2312" w:hAnsi="仿宋_GB2312" w:eastAsia="仿宋_GB2312" w:cs="仿宋_GB2312"/>
          <w:sz w:val="32"/>
          <w:szCs w:val="32"/>
          <w:highlight w:val="none"/>
        </w:rPr>
        <w:t>，进一步提升我市知识产权涉外风险防控水平，</w:t>
      </w:r>
      <w:r>
        <w:rPr>
          <w:rFonts w:hint="eastAsia" w:ascii="仿宋_GB2312" w:hAnsi="仿宋_GB2312" w:eastAsia="仿宋_GB2312" w:cs="仿宋_GB2312"/>
          <w:sz w:val="32"/>
          <w:szCs w:val="32"/>
          <w:highlight w:val="none"/>
          <w:lang w:eastAsia="zh-CN"/>
        </w:rPr>
        <w:t>北京</w:t>
      </w:r>
      <w:r>
        <w:rPr>
          <w:rFonts w:hint="eastAsia" w:ascii="仿宋_GB2312" w:hAnsi="仿宋_GB2312" w:eastAsia="仿宋_GB2312" w:cs="仿宋_GB2312"/>
          <w:sz w:val="32"/>
          <w:szCs w:val="32"/>
          <w:highlight w:val="none"/>
        </w:rPr>
        <w:t>市知识产权局聚焦新要求、新需求查漏补缺，进一步总结经验、固化成果，以总体稳定、适当修改为原则，研究</w:t>
      </w:r>
      <w:r>
        <w:rPr>
          <w:rFonts w:hint="eastAsia" w:ascii="仿宋_GB2312" w:hAnsi="仿宋_GB2312" w:eastAsia="仿宋_GB2312" w:cs="仿宋_GB2312"/>
          <w:sz w:val="32"/>
          <w:szCs w:val="32"/>
          <w:highlight w:val="none"/>
          <w:lang w:eastAsia="zh-CN"/>
        </w:rPr>
        <w:t>制定</w:t>
      </w:r>
      <w:r>
        <w:rPr>
          <w:rFonts w:hint="eastAsia" w:ascii="仿宋_GB2312" w:hAnsi="仿宋_GB2312" w:eastAsia="仿宋_GB2312" w:cs="仿宋_GB2312"/>
          <w:sz w:val="32"/>
          <w:szCs w:val="32"/>
          <w:highlight w:val="none"/>
        </w:rPr>
        <w:t>了《北京市海外知识产权维权援助工作办法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征求意见稿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（以下简称“《征求意见稿》”）</w:t>
      </w:r>
      <w:r>
        <w:rPr>
          <w:rFonts w:hint="eastAsia" w:ascii="仿宋_GB2312" w:hAnsi="仿宋_GB2312" w:eastAsia="仿宋_GB2312" w:cs="仿宋_GB2312"/>
          <w:sz w:val="32"/>
          <w:szCs w:val="32"/>
          <w:highlight w:val="none"/>
        </w:rPr>
        <w:t>。</w:t>
      </w:r>
    </w:p>
    <w:p w14:paraId="4E3CD1DF">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二、制定思路和主要内容</w:t>
      </w:r>
    </w:p>
    <w:p w14:paraId="2DE56C0B">
      <w:pPr>
        <w:spacing w:line="540" w:lineRule="exact"/>
        <w:ind w:firstLine="643" w:firstLineChars="200"/>
        <w:rPr>
          <w:rFonts w:ascii="仿宋_GB2312" w:eastAsia="仿宋_GB2312"/>
          <w:sz w:val="32"/>
          <w:szCs w:val="32"/>
          <w:highlight w:val="none"/>
        </w:rPr>
      </w:pPr>
      <w:r>
        <w:rPr>
          <w:rFonts w:hint="eastAsia" w:ascii="楷体_GB2312" w:eastAsia="楷体_GB2312"/>
          <w:b/>
          <w:sz w:val="32"/>
          <w:szCs w:val="32"/>
          <w:highlight w:val="none"/>
        </w:rPr>
        <w:t>（一）制定思路</w:t>
      </w:r>
    </w:p>
    <w:p w14:paraId="6FA6A0C6">
      <w:pPr>
        <w:spacing w:line="5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本次</w:t>
      </w:r>
      <w:r>
        <w:rPr>
          <w:rFonts w:hint="eastAsia" w:ascii="仿宋_GB2312" w:eastAsia="仿宋_GB2312"/>
          <w:sz w:val="32"/>
          <w:szCs w:val="32"/>
          <w:highlight w:val="none"/>
          <w:lang w:eastAsia="zh-CN"/>
        </w:rPr>
        <w:t>《征求意见稿》</w:t>
      </w:r>
      <w:r>
        <w:rPr>
          <w:rFonts w:hint="eastAsia" w:ascii="仿宋_GB2312" w:eastAsia="仿宋_GB2312"/>
          <w:sz w:val="32"/>
          <w:szCs w:val="32"/>
          <w:highlight w:val="none"/>
        </w:rPr>
        <w:t>制定主要思路如下：一是坚持系统观念。贯彻落实习近平总书记关于“建设知识产权涉外风险防控体系”的重要指示精神，进一步推动海外知识产权维权援助工作</w:t>
      </w:r>
      <w:r>
        <w:rPr>
          <w:rFonts w:hint="eastAsia" w:ascii="仿宋_GB2312" w:eastAsia="仿宋_GB2312"/>
          <w:sz w:val="32"/>
          <w:szCs w:val="32"/>
          <w:highlight w:val="none"/>
          <w:lang w:eastAsia="zh-CN"/>
        </w:rPr>
        <w:t>形成</w:t>
      </w:r>
      <w:r>
        <w:rPr>
          <w:rFonts w:hint="eastAsia" w:ascii="仿宋_GB2312" w:eastAsia="仿宋_GB2312"/>
          <w:sz w:val="32"/>
          <w:szCs w:val="32"/>
          <w:highlight w:val="none"/>
        </w:rPr>
        <w:t>跨部门协同、全链条服务、社会力量共同参与的治理格局；二是坚持问题导向。聚焦企业“走出去”面临的知识产权重点难点问题，新增海外布局指导、信息监测预警和海外展会服务等关键举措，支撑企业高质量出海；三是坚持科学决策。以试行期间的实践成效作为坚实基础，系统整合企业调研成果、专家论证结论与有关部门反馈意见，全面提升</w:t>
      </w:r>
      <w:r>
        <w:rPr>
          <w:rFonts w:hint="eastAsia" w:ascii="仿宋_GB2312" w:eastAsia="仿宋_GB2312"/>
          <w:sz w:val="32"/>
          <w:szCs w:val="32"/>
          <w:highlight w:val="none"/>
          <w:lang w:eastAsia="zh-CN"/>
        </w:rPr>
        <w:t>《征求意见稿》</w:t>
      </w:r>
      <w:r>
        <w:rPr>
          <w:rFonts w:hint="eastAsia" w:ascii="仿宋_GB2312" w:eastAsia="仿宋_GB2312"/>
          <w:sz w:val="32"/>
          <w:szCs w:val="32"/>
          <w:highlight w:val="none"/>
        </w:rPr>
        <w:t>的科学性与可行性。</w:t>
      </w:r>
    </w:p>
    <w:p w14:paraId="39D046BD">
      <w:pPr>
        <w:spacing w:line="540" w:lineRule="exact"/>
        <w:ind w:firstLine="643" w:firstLineChars="200"/>
        <w:rPr>
          <w:rFonts w:hint="eastAsia" w:ascii="仿宋_GB2312" w:eastAsia="仿宋_GB2312"/>
          <w:sz w:val="32"/>
          <w:szCs w:val="32"/>
          <w:highlight w:val="none"/>
          <w:lang w:eastAsia="zh-CN"/>
        </w:rPr>
      </w:pPr>
      <w:r>
        <w:rPr>
          <w:rFonts w:hint="eastAsia" w:ascii="楷体_GB2312" w:eastAsia="楷体_GB2312"/>
          <w:b/>
          <w:sz w:val="32"/>
          <w:szCs w:val="32"/>
          <w:highlight w:val="none"/>
        </w:rPr>
        <w:t>（二）主要内容</w:t>
      </w:r>
    </w:p>
    <w:p w14:paraId="75E8DDBB">
      <w:pPr>
        <w:spacing w:line="540" w:lineRule="exact"/>
        <w:ind w:firstLine="640" w:firstLineChars="200"/>
        <w:rPr>
          <w:rFonts w:hint="eastAsia" w:ascii="仿宋_GB2312" w:hAnsi="Calibri" w:eastAsia="仿宋_GB2312" w:cs="Times New Roman"/>
          <w:bCs/>
          <w:kern w:val="44"/>
          <w:sz w:val="32"/>
          <w:szCs w:val="32"/>
          <w:highlight w:val="none"/>
          <w:lang w:val="en-US" w:eastAsia="zh-CN" w:bidi="ar-SA"/>
        </w:rPr>
      </w:pPr>
      <w:r>
        <w:rPr>
          <w:rFonts w:hint="eastAsia" w:ascii="仿宋_GB2312" w:hAnsi="Calibri" w:eastAsia="仿宋_GB2312" w:cs="Times New Roman"/>
          <w:bCs/>
          <w:kern w:val="44"/>
          <w:sz w:val="32"/>
          <w:szCs w:val="32"/>
          <w:highlight w:val="none"/>
          <w:lang w:val="en-US" w:eastAsia="zh-CN" w:bidi="ar-SA"/>
        </w:rPr>
        <w:t>《征求意见稿》共11条，主要包括以下五方面内容：</w:t>
      </w:r>
    </w:p>
    <w:p w14:paraId="5AE1FBDE">
      <w:pPr>
        <w:spacing w:line="540" w:lineRule="exact"/>
        <w:ind w:firstLine="640" w:firstLineChars="200"/>
        <w:rPr>
          <w:rFonts w:hint="eastAsia" w:ascii="仿宋_GB2312" w:hAnsi="Calibri" w:eastAsia="仿宋_GB2312" w:cs="Times New Roman"/>
          <w:bCs/>
          <w:kern w:val="44"/>
          <w:sz w:val="32"/>
          <w:szCs w:val="32"/>
          <w:highlight w:val="none"/>
          <w:lang w:val="en-US" w:eastAsia="zh-CN" w:bidi="ar-SA"/>
        </w:rPr>
      </w:pPr>
      <w:r>
        <w:rPr>
          <w:rFonts w:hint="eastAsia" w:ascii="仿宋_GB2312" w:hAnsi="Calibri" w:eastAsia="仿宋_GB2312" w:cs="Times New Roman"/>
          <w:bCs/>
          <w:kern w:val="44"/>
          <w:sz w:val="32"/>
          <w:szCs w:val="32"/>
          <w:highlight w:val="none"/>
          <w:lang w:val="en-US" w:eastAsia="zh-CN" w:bidi="ar-SA"/>
        </w:rPr>
        <w:t>一是明确定义及原则。明确海外知识产权维权援助指北京市知识产权局为辖区内自然人、法人或者其他组织提供的海外知识产权布局、风险预警、纠纷应对指导等知识产权保护公共服务。确立北京市海外知识产权维权援助工作坚持政府引导、多方联动、问题导向、重点突破的原则。</w:t>
      </w:r>
    </w:p>
    <w:p w14:paraId="42E9A2AA">
      <w:pPr>
        <w:spacing w:line="540" w:lineRule="exact"/>
        <w:ind w:firstLine="640" w:firstLineChars="200"/>
        <w:rPr>
          <w:rFonts w:hint="eastAsia" w:ascii="仿宋_GB2312" w:hAnsi="Calibri" w:eastAsia="仿宋_GB2312" w:cs="Times New Roman"/>
          <w:bCs/>
          <w:kern w:val="44"/>
          <w:sz w:val="32"/>
          <w:szCs w:val="32"/>
          <w:highlight w:val="none"/>
          <w:lang w:val="en-US" w:eastAsia="zh-CN" w:bidi="ar-SA"/>
        </w:rPr>
      </w:pPr>
      <w:r>
        <w:rPr>
          <w:rFonts w:hint="eastAsia" w:ascii="仿宋_GB2312" w:hAnsi="Calibri" w:eastAsia="仿宋_GB2312" w:cs="Times New Roman"/>
          <w:bCs/>
          <w:kern w:val="44"/>
          <w:sz w:val="32"/>
          <w:szCs w:val="32"/>
          <w:highlight w:val="none"/>
          <w:lang w:val="en-US" w:eastAsia="zh-CN" w:bidi="ar-SA"/>
        </w:rPr>
        <w:t>二是明确构建市区两级工作体系。北京市知识产权局构建央地协同、合作共享、横向互联、纵向互通的工作体系，统筹推进京津冀纠纷海外知识产权纠纷应对指导区域协作和服务资源共享，联合开展海外知识产权援助工作；区级部门根据本地区实际建立工作体系和机制，并依职责开展工作。</w:t>
      </w:r>
    </w:p>
    <w:p w14:paraId="2A63406E">
      <w:pPr>
        <w:spacing w:line="540" w:lineRule="exact"/>
        <w:ind w:firstLine="640" w:firstLineChars="200"/>
        <w:rPr>
          <w:rFonts w:hint="eastAsia" w:ascii="仿宋_GB2312" w:hAnsi="Calibri" w:eastAsia="仿宋_GB2312" w:cs="Times New Roman"/>
          <w:bCs/>
          <w:kern w:val="44"/>
          <w:sz w:val="32"/>
          <w:szCs w:val="32"/>
          <w:highlight w:val="none"/>
          <w:lang w:val="en-US" w:eastAsia="zh-CN" w:bidi="ar-SA"/>
        </w:rPr>
      </w:pPr>
      <w:r>
        <w:rPr>
          <w:rFonts w:hint="eastAsia" w:ascii="仿宋_GB2312" w:hAnsi="Calibri" w:eastAsia="仿宋_GB2312" w:cs="Times New Roman"/>
          <w:bCs/>
          <w:kern w:val="44"/>
          <w:sz w:val="32"/>
          <w:szCs w:val="32"/>
          <w:highlight w:val="none"/>
          <w:lang w:val="en-US" w:eastAsia="zh-CN" w:bidi="ar-SA"/>
        </w:rPr>
        <w:t>三是突出统筹多元主体，整合各方资源。提出建立跨部门协同、社会力量共同参与的治理格局。依托北京市知识产权办公会议机制，统筹相关部门、商会、行业协会、服务机构、企业、高校和高校院所等多元主体，鼓励和支持多元主体协同发力，共同提升自然人、法人或者其他组织海外知识产权风险防控意识与纠纷应对能力。</w:t>
      </w:r>
    </w:p>
    <w:p w14:paraId="3D695AFF">
      <w:pPr>
        <w:spacing w:line="540" w:lineRule="exact"/>
        <w:ind w:firstLine="640" w:firstLineChars="200"/>
        <w:rPr>
          <w:rFonts w:hint="eastAsia" w:ascii="仿宋_GB2312" w:hAnsi="Calibri" w:eastAsia="仿宋_GB2312" w:cs="Times New Roman"/>
          <w:bCs/>
          <w:kern w:val="44"/>
          <w:sz w:val="32"/>
          <w:szCs w:val="32"/>
          <w:highlight w:val="none"/>
          <w:lang w:val="en-US" w:eastAsia="zh-CN" w:bidi="ar-SA"/>
        </w:rPr>
      </w:pPr>
      <w:r>
        <w:rPr>
          <w:rFonts w:hint="eastAsia" w:ascii="仿宋_GB2312" w:hAnsi="Calibri" w:eastAsia="仿宋_GB2312" w:cs="Times New Roman"/>
          <w:bCs/>
          <w:kern w:val="44"/>
          <w:sz w:val="32"/>
          <w:szCs w:val="32"/>
          <w:highlight w:val="none"/>
          <w:lang w:val="en-US" w:eastAsia="zh-CN" w:bidi="ar-SA"/>
        </w:rPr>
        <w:t>四是坚持问题导向，强化精准服务。北京市知识产权局推动海外知识产权维权援助纳入企业知识产权服务事项工作清单和公共服务事项清单，精准对接企业海外知识产权布局、风险预警及维权等需求；与商务、贸促等部门加强海外展会知识产权保护和指导；鼓励企业设立海外知识产权维权互助基金并拓展保险产品，降低维权成本；指导市知识产权维权援助中心系统开展纠纷信息监测预警、纠纷案件指导、信息采集和跟踪、能力提升、专家保障以及数智化信息库建设等工作，为企业“走出去”提供全方位支撑。</w:t>
      </w:r>
    </w:p>
    <w:p w14:paraId="7C141E28">
      <w:pPr>
        <w:spacing w:line="540" w:lineRule="exact"/>
        <w:ind w:firstLine="640" w:firstLineChars="200"/>
        <w:rPr>
          <w:rFonts w:ascii="仿宋_GB2312" w:hAnsi="Calibri" w:eastAsia="仿宋_GB2312" w:cs="Times New Roman"/>
          <w:sz w:val="32"/>
          <w:szCs w:val="32"/>
          <w:highlight w:val="none"/>
        </w:rPr>
      </w:pPr>
      <w:r>
        <w:rPr>
          <w:rFonts w:hint="eastAsia" w:ascii="仿宋_GB2312" w:hAnsi="Calibri" w:eastAsia="仿宋_GB2312" w:cs="Times New Roman"/>
          <w:bCs/>
          <w:kern w:val="44"/>
          <w:sz w:val="32"/>
          <w:szCs w:val="32"/>
          <w:highlight w:val="none"/>
          <w:lang w:val="en-US" w:eastAsia="zh-CN" w:bidi="ar-SA"/>
        </w:rPr>
        <w:t>五是明确解释主体和实施日期。本办法由北京市知识产权局负责解释并自发布之日起实施。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6BC6">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BD6D2">
                          <w:pPr>
                            <w:pStyle w:val="6"/>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5710AA1D"/>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22BBD6D2">
                    <w:pPr>
                      <w:pStyle w:val="6"/>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5710AA1D"/>
                </w:txbxContent>
              </v:textbox>
            </v:shape>
          </w:pict>
        </mc:Fallback>
      </mc:AlternateContent>
    </w:r>
  </w:p>
  <w:p w14:paraId="1395FE9B">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B6727"/>
    <w:multiLevelType w:val="multilevel"/>
    <w:tmpl w:val="361B6727"/>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A3"/>
    <w:rsid w:val="00195FAF"/>
    <w:rsid w:val="008D1169"/>
    <w:rsid w:val="00A504E3"/>
    <w:rsid w:val="00AD4013"/>
    <w:rsid w:val="00CC3F3C"/>
    <w:rsid w:val="00D37FF3"/>
    <w:rsid w:val="00F90BA3"/>
    <w:rsid w:val="028916DF"/>
    <w:rsid w:val="03604B36"/>
    <w:rsid w:val="0A8C2ADE"/>
    <w:rsid w:val="1D491D3F"/>
    <w:rsid w:val="201A672E"/>
    <w:rsid w:val="247C6C21"/>
    <w:rsid w:val="248C5333"/>
    <w:rsid w:val="32C456BD"/>
    <w:rsid w:val="3FBD4332"/>
    <w:rsid w:val="459A2FF4"/>
    <w:rsid w:val="46EB5A91"/>
    <w:rsid w:val="4F936CC6"/>
    <w:rsid w:val="57825F9E"/>
    <w:rsid w:val="5FEE2C30"/>
    <w:rsid w:val="64BA03AB"/>
    <w:rsid w:val="6DE035C6"/>
    <w:rsid w:val="714F6A99"/>
    <w:rsid w:val="761738FD"/>
    <w:rsid w:val="BF7A20FB"/>
    <w:rsid w:val="FBBF33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2"/>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spacing w:line="360" w:lineRule="auto"/>
      <w:ind w:firstLine="420" w:firstLineChars="200"/>
      <w:jc w:val="both"/>
    </w:pPr>
    <w:rPr>
      <w:rFonts w:ascii="Calibri" w:hAnsi="Calibri" w:eastAsia="宋体" w:cs="Times New Roman"/>
      <w:kern w:val="2"/>
      <w:sz w:val="21"/>
      <w:szCs w:val="21"/>
      <w:lang w:val="en-US" w:eastAsia="zh-CN" w:bidi="ar-SA"/>
    </w:rPr>
  </w:style>
  <w:style w:type="paragraph" w:styleId="5">
    <w:name w:val="Balloon Text"/>
    <w:basedOn w:val="1"/>
    <w:link w:val="15"/>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customStyle="1" w:styleId="11">
    <w:name w:val="标题 1 Char"/>
    <w:basedOn w:val="10"/>
    <w:link w:val="3"/>
    <w:qFormat/>
    <w:uiPriority w:val="9"/>
    <w:rPr>
      <w:rFonts w:ascii="Calibri" w:hAnsi="Calibri" w:eastAsia="宋体" w:cs="Times New Roman"/>
      <w:b/>
      <w:bCs/>
      <w:kern w:val="44"/>
      <w:sz w:val="44"/>
      <w:szCs w:val="44"/>
    </w:rPr>
  </w:style>
  <w:style w:type="character" w:customStyle="1" w:styleId="12">
    <w:name w:val="标题 2 Char"/>
    <w:basedOn w:val="10"/>
    <w:link w:val="4"/>
    <w:qFormat/>
    <w:uiPriority w:val="9"/>
    <w:rPr>
      <w:rFonts w:ascii="Cambria" w:hAnsi="Cambria" w:eastAsia="宋体" w:cs="Times New Roman"/>
      <w:b/>
      <w:bCs/>
      <w:kern w:val="0"/>
      <w:sz w:val="32"/>
      <w:szCs w:val="32"/>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qFormat/>
    <w:uiPriority w:val="99"/>
    <w:rPr>
      <w:sz w:val="18"/>
      <w:szCs w:val="18"/>
    </w:rPr>
  </w:style>
  <w:style w:type="character" w:customStyle="1" w:styleId="16">
    <w:name w:val="fontstyle01"/>
    <w:basedOn w:val="10"/>
    <w:qFormat/>
    <w:uiPriority w:val="0"/>
    <w:rPr>
      <w:rFonts w:hint="eastAsia" w:ascii="仿宋_GB2312" w:eastAsia="仿宋_GB2312"/>
      <w:color w:val="000000"/>
      <w:sz w:val="32"/>
      <w:szCs w:val="32"/>
    </w:rPr>
  </w:style>
  <w:style w:type="character" w:customStyle="1" w:styleId="17">
    <w:name w:val="fontstyle21"/>
    <w:basedOn w:val="10"/>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d82a1684-904e-4299-8bc5-b67f1078aedb</errorID>
      <errorWord>规划化</errorWord>
      <group>L1_Political</group>
      <groupName>政治性问题</groupName>
      <ability>L2_Unpolitical</ability>
      <abilityName>政治敏感错误</abilityName>
      <candidateList/>
      <explain>有错</explain>
      <paraID>724E6EE3</paraID>
      <start>373</start>
      <end>376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4e249-ce70-49fd-94a0-e42722efe1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1698</Words>
  <Characters>1706</Characters>
  <Lines>9</Lines>
  <Paragraphs>2</Paragraphs>
  <TotalTime>24</TotalTime>
  <ScaleCrop>false</ScaleCrop>
  <LinksUpToDate>false</LinksUpToDate>
  <CharactersWithSpaces>1706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2024-08-08T09:03:00Z</dcterms:created>
  <dc:creator>pt</dc:creator>
  <cp:lastModifiedBy>山山而川</cp:lastModifiedBy>
  <cp:lastPrinted>2024-08-08T09:12:00Z</cp:lastPrinted>
  <dcterms:modified xsi:type="dcterms:W3CDTF">2025-12-09T08:16:02Z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CCB7C10D9DBE91581B9B3769BB658311_43</vt:lpwstr>
  </property>
  <property fmtid="{D5CDD505-2E9C-101B-9397-08002B2CF9AE}" pid="4" name="KSOTemplateDocerSaveRecord">
    <vt:lpwstr>eyJoZGlkIjoiOTEzYmMxNDk2MDY5N2Q1OTYyZDhmMDZkZDAzZmI1YzciLCJ1c2VySWQiOiIxNjg1ODU0NTA0In0=</vt:lpwstr>
  </property>
</Properties>
</file>