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E711">
      <w:pPr>
        <w:pStyle w:val="13"/>
        <w:bidi w:val="0"/>
        <w:rPr>
          <w:rFonts w:hint="default"/>
          <w:lang w:val="en-US" w:eastAsia="zh-CN"/>
        </w:rPr>
      </w:pPr>
      <w:r>
        <w:rPr>
          <w:rFonts w:hint="default"/>
          <w:lang w:val="en-US" w:eastAsia="zh-CN"/>
        </w:rPr>
        <w:t>关于《通州国际种业科技园区发展规划（2025年—2035年）》的政策解读</w:t>
      </w:r>
    </w:p>
    <w:p w14:paraId="7DA9D213">
      <w:pPr>
        <w:pStyle w:val="8"/>
        <w:bidi w:val="0"/>
        <w:rPr>
          <w:rFonts w:hint="default"/>
          <w:lang w:val="en-US" w:eastAsia="zh-CN"/>
        </w:rPr>
      </w:pPr>
      <w:r>
        <w:rPr>
          <w:rFonts w:hint="default"/>
          <w:lang w:val="en-US" w:eastAsia="zh-CN"/>
        </w:rPr>
        <w:t xml:space="preserve">日期：2025-11-28 </w:t>
      </w:r>
      <w:r>
        <w:rPr>
          <w:rFonts w:hint="eastAsia"/>
          <w:lang w:val="en-US" w:eastAsia="zh-CN"/>
        </w:rPr>
        <w:t xml:space="preserve">                                            </w:t>
      </w:r>
      <w:r>
        <w:rPr>
          <w:rFonts w:hint="default"/>
          <w:lang w:val="en-US" w:eastAsia="zh-CN"/>
        </w:rPr>
        <w:t>来源：区政府</w:t>
      </w:r>
    </w:p>
    <w:p w14:paraId="0477CBD8">
      <w:pPr>
        <w:bidi w:val="0"/>
        <w:ind w:firstLine="560" w:firstLineChars="200"/>
        <w:rPr>
          <w:rFonts w:hint="default"/>
          <w:lang w:val="en-US" w:eastAsia="zh-CN"/>
        </w:rPr>
      </w:pPr>
      <w:r>
        <w:rPr>
          <w:rFonts w:hint="default"/>
          <w:lang w:val="en-US" w:eastAsia="zh-CN"/>
        </w:rPr>
        <w:t>政策文件：北京市通州区人民政府办公室关于印发《通州国际种业科技园区发展规划（2025年—2035年）》的通知</w:t>
      </w:r>
    </w:p>
    <w:p w14:paraId="21BF765D">
      <w:pPr>
        <w:pStyle w:val="2"/>
        <w:bidi w:val="0"/>
        <w:rPr>
          <w:rFonts w:hint="default"/>
          <w:lang w:val="en-US" w:eastAsia="zh-CN"/>
        </w:rPr>
      </w:pPr>
      <w:r>
        <w:rPr>
          <w:rFonts w:hint="default"/>
          <w:lang w:val="en-US" w:eastAsia="zh-CN"/>
        </w:rPr>
        <w:t>一、规划背景与意义</w:t>
      </w:r>
    </w:p>
    <w:p w14:paraId="42B4C663">
      <w:pPr>
        <w:bidi w:val="0"/>
        <w:ind w:firstLine="560" w:firstLineChars="200"/>
        <w:rPr>
          <w:rFonts w:hint="default"/>
          <w:lang w:val="en-US" w:eastAsia="zh-CN"/>
        </w:rPr>
      </w:pPr>
      <w:r>
        <w:rPr>
          <w:rFonts w:hint="default"/>
          <w:lang w:val="en-US" w:eastAsia="zh-CN"/>
        </w:rPr>
        <w:t>通州国际种业科技园区承载着北京种业振兴计划中建设农作物种业创新高地的战略使命，同时现代种业作为城市副中心未来主导产业之一亟需推进其高质量发展。为深入贯彻实施《国务院关于支持北京城市副中心高质量发展的意见》《北京种业振兴实施方案》，结合中关村通州园管委已申报国家级高新区将国际种业科技园区区块面积拓展至359.2公顷，依托《通州区于家务乡国土空间规划及控制性详细规划（街区层面）（2021年—2035年）》（以下简称“《于家务国空》”）明确的各类要素空间布局和管控要求，进一步加强支撑产业集群发展的空间及设施保障，回应现实诉求、补齐设施短板、强化产业发展空间支撑，特编制本规划。</w:t>
      </w:r>
    </w:p>
    <w:p w14:paraId="64D013DD">
      <w:pPr>
        <w:pStyle w:val="2"/>
        <w:bidi w:val="0"/>
        <w:rPr>
          <w:rFonts w:hint="default"/>
          <w:lang w:val="en-US" w:eastAsia="zh-CN"/>
        </w:rPr>
      </w:pPr>
      <w:r>
        <w:rPr>
          <w:rFonts w:hint="default"/>
          <w:lang w:val="en-US" w:eastAsia="zh-CN"/>
        </w:rPr>
        <w:t>二、规划范围与期限</w:t>
      </w:r>
    </w:p>
    <w:p w14:paraId="3D1FCACA">
      <w:pPr>
        <w:bidi w:val="0"/>
        <w:ind w:firstLine="560" w:firstLineChars="200"/>
        <w:rPr>
          <w:rFonts w:hint="default"/>
          <w:lang w:val="en-US" w:eastAsia="zh-CN"/>
        </w:rPr>
      </w:pPr>
      <w:r>
        <w:rPr>
          <w:rFonts w:hint="default"/>
          <w:lang w:val="en-US" w:eastAsia="zh-CN"/>
        </w:rPr>
        <w:t>规划范围总面积约31.7平方公里,规划同步辐射带动马驹桥镇、永乐店镇、潞城镇、漷县镇、西集镇等5个乡镇共约9万亩科研试验田，形成圈层联动发展合力。</w:t>
      </w:r>
    </w:p>
    <w:p w14:paraId="368429FC">
      <w:pPr>
        <w:bidi w:val="0"/>
        <w:ind w:firstLine="560" w:firstLineChars="200"/>
        <w:rPr>
          <w:rFonts w:hint="default"/>
          <w:lang w:val="en-US" w:eastAsia="zh-CN"/>
        </w:rPr>
      </w:pPr>
      <w:r>
        <w:rPr>
          <w:rFonts w:hint="default"/>
          <w:lang w:val="en-US" w:eastAsia="zh-CN"/>
        </w:rPr>
        <w:t>本规划期限为2025年至2035年。</w:t>
      </w:r>
    </w:p>
    <w:p w14:paraId="7248990F">
      <w:pPr>
        <w:pStyle w:val="2"/>
        <w:bidi w:val="0"/>
        <w:rPr>
          <w:rFonts w:hint="default"/>
          <w:lang w:val="en-US" w:eastAsia="zh-CN"/>
        </w:rPr>
      </w:pPr>
      <w:r>
        <w:rPr>
          <w:rFonts w:hint="default"/>
          <w:lang w:val="en-US" w:eastAsia="zh-CN"/>
        </w:rPr>
        <w:t>三、主要内容</w:t>
      </w:r>
    </w:p>
    <w:p w14:paraId="76DDAD11">
      <w:pPr>
        <w:pStyle w:val="3"/>
        <w:bidi w:val="0"/>
        <w:rPr>
          <w:rFonts w:hint="default"/>
          <w:lang w:val="en-US" w:eastAsia="zh-CN"/>
        </w:rPr>
      </w:pPr>
      <w:r>
        <w:rPr>
          <w:rFonts w:hint="default"/>
          <w:lang w:val="en-US" w:eastAsia="zh-CN"/>
        </w:rPr>
        <w:t>（一）战略定位和发展目标</w:t>
      </w:r>
    </w:p>
    <w:p w14:paraId="69A00B62">
      <w:pPr>
        <w:bidi w:val="0"/>
        <w:ind w:firstLine="560" w:firstLineChars="200"/>
        <w:rPr>
          <w:rFonts w:hint="default"/>
          <w:lang w:val="en-US" w:eastAsia="zh-CN"/>
        </w:rPr>
      </w:pPr>
      <w:r>
        <w:rPr>
          <w:rFonts w:hint="default"/>
          <w:lang w:val="en-US" w:eastAsia="zh-CN"/>
        </w:rPr>
        <w:t>立足于家务乡“科技农业小城镇”功能，深化各级各类规划关于现代种业发展的定位要求，通州国际种业科技园区定位为：国家种业科技产业集群发展示范区、国际农作物现代种业创新示范区。</w:t>
      </w:r>
    </w:p>
    <w:p w14:paraId="67A63B7C">
      <w:pPr>
        <w:bidi w:val="0"/>
        <w:ind w:firstLine="560" w:firstLineChars="200"/>
        <w:rPr>
          <w:rFonts w:hint="default"/>
          <w:lang w:val="en-US" w:eastAsia="zh-CN"/>
        </w:rPr>
      </w:pPr>
      <w:r>
        <w:rPr>
          <w:rFonts w:hint="default"/>
          <w:lang w:val="en-US" w:eastAsia="zh-CN"/>
        </w:rPr>
        <w:t>到2030年，园区种业产业总产值达到十亿级，园区产业空间布局基本成型，种业相关企业数量达到80家，累计培育新品种达到1000种，专利数达150项。到2035年，园区种业产业总产值实现进一步跃升，以农作物为核心的种业研发技术达到国际先进水平，种业相关企业数量达到100家，累计培育新品种达到1300种，专利数达230项。</w:t>
      </w:r>
    </w:p>
    <w:p w14:paraId="62DD0F11">
      <w:pPr>
        <w:pStyle w:val="3"/>
        <w:bidi w:val="0"/>
        <w:rPr>
          <w:rFonts w:hint="default"/>
          <w:lang w:val="en-US" w:eastAsia="zh-CN"/>
        </w:rPr>
      </w:pPr>
      <w:r>
        <w:rPr>
          <w:rFonts w:hint="default"/>
          <w:lang w:val="en-US" w:eastAsia="zh-CN"/>
        </w:rPr>
        <w:t>（二）种业强链补链</w:t>
      </w:r>
    </w:p>
    <w:p w14:paraId="78E8DE5F">
      <w:pPr>
        <w:bidi w:val="0"/>
        <w:ind w:firstLine="560" w:firstLineChars="200"/>
        <w:rPr>
          <w:rFonts w:hint="default"/>
          <w:lang w:val="en-US" w:eastAsia="zh-CN"/>
        </w:rPr>
      </w:pPr>
      <w:r>
        <w:rPr>
          <w:rFonts w:hint="default"/>
          <w:lang w:val="en-US" w:eastAsia="zh-CN"/>
        </w:rPr>
        <w:t>丰富从前端研发中试到后端种业交易交流的全流程，拓展种业科技相关配套服务产业和“种业+”辐射产业，聚焦育种研发、试验展示、成果转化、融合拓展、对外交流五个环节，打造链条完整、链接高效、结构合理的种业科技产业链。</w:t>
      </w:r>
    </w:p>
    <w:p w14:paraId="21EDCC72">
      <w:pPr>
        <w:bidi w:val="0"/>
        <w:ind w:firstLine="560" w:firstLineChars="200"/>
        <w:rPr>
          <w:rFonts w:hint="default"/>
          <w:lang w:val="en-US" w:eastAsia="zh-CN"/>
        </w:rPr>
      </w:pPr>
      <w:r>
        <w:rPr>
          <w:rFonts w:hint="default"/>
          <w:lang w:val="en-US" w:eastAsia="zh-CN"/>
        </w:rPr>
        <w:t>育种研发环节，践行战略种源保护与创新，增强生物育种研发能力，优化公共科研服务设施。试验展示环节，加速品种中试体系建设，构建新品种展示体系，建优做强产业化示范基地。成果转化环节，不断提升科技成果生成水平，加强制种及农产品生产合作。融合拓展环节，完善种业科技服务体系，建立种业科技交易体系，推动一二三产融合发展。对外交流环节，发展国际种业会展经济，加强人才交流培训，搭建国际合作平台。</w:t>
      </w:r>
    </w:p>
    <w:p w14:paraId="1BD76643">
      <w:pPr>
        <w:pStyle w:val="3"/>
        <w:bidi w:val="0"/>
        <w:rPr>
          <w:rFonts w:hint="default"/>
          <w:lang w:val="en-US" w:eastAsia="zh-CN"/>
        </w:rPr>
      </w:pPr>
      <w:r>
        <w:rPr>
          <w:rFonts w:hint="default"/>
          <w:lang w:val="en-US" w:eastAsia="zh-CN"/>
        </w:rPr>
        <w:t>（三）产业空间结构</w:t>
      </w:r>
    </w:p>
    <w:p w14:paraId="6AD435E9">
      <w:pPr>
        <w:bidi w:val="0"/>
        <w:ind w:firstLine="560" w:firstLineChars="200"/>
        <w:rPr>
          <w:rFonts w:hint="default"/>
          <w:lang w:val="en-US" w:eastAsia="zh-CN"/>
        </w:rPr>
      </w:pPr>
      <w:r>
        <w:rPr>
          <w:rFonts w:hint="default"/>
          <w:lang w:val="en-US" w:eastAsia="zh-CN"/>
        </w:rPr>
        <w:t>打造“一链双核，多区万田”的种业科技产业空间布局。“一链”为连通种业科技各环节的种业智创链，依托张采路自北向南串联起种业科技各环节。“双核”即围绕种业大楼和会展中心打造的“综合服务核心”和围绕于家务乡科技创新组团打造的“研发转化核心”。“多区”即承载产业发展的综合配套区、创新研发区、试验展示区、农旅融合区、存储交易区，是直接创造产业价值的承载空间，本规划对各个功能区从功能定位、实施情况及项目支撑维度，细化形成了空间指引。</w:t>
      </w:r>
    </w:p>
    <w:p w14:paraId="006DEC12">
      <w:pPr>
        <w:pStyle w:val="3"/>
        <w:bidi w:val="0"/>
        <w:rPr>
          <w:rFonts w:hint="default"/>
          <w:lang w:val="en-US" w:eastAsia="zh-CN"/>
        </w:rPr>
      </w:pPr>
      <w:r>
        <w:rPr>
          <w:rFonts w:hint="default"/>
          <w:lang w:val="en-US" w:eastAsia="zh-CN"/>
        </w:rPr>
        <w:t>（四）空间资源保障</w:t>
      </w:r>
    </w:p>
    <w:p w14:paraId="4F9F4B6D">
      <w:pPr>
        <w:bidi w:val="0"/>
        <w:ind w:firstLine="560" w:firstLineChars="200"/>
        <w:rPr>
          <w:rFonts w:hint="default"/>
          <w:lang w:val="en-US" w:eastAsia="zh-CN"/>
        </w:rPr>
      </w:pPr>
      <w:r>
        <w:rPr>
          <w:rFonts w:hint="default"/>
          <w:lang w:val="en-US" w:eastAsia="zh-CN"/>
        </w:rPr>
        <w:t>建设空间资源方面，根据《于家务国空》，本次规划范围可利用产业及科研用地面积约44.3公顷，建筑规模约43.0万平方米，主要位于种业大道周边及于家务乡科技创新组团。种业大道周边区域已聚集一定科研院所和公共科研服务设施，是未来育种研发、综合服务的主要区域。于家务乡科技创新组团未来可引入种业科技研发装备先进制造等企业和机构。</w:t>
      </w:r>
    </w:p>
    <w:p w14:paraId="5B12D0AD">
      <w:pPr>
        <w:bidi w:val="0"/>
        <w:ind w:firstLine="560" w:firstLineChars="200"/>
        <w:rPr>
          <w:rFonts w:hint="default"/>
          <w:lang w:val="en-US" w:eastAsia="zh-CN"/>
        </w:rPr>
      </w:pPr>
      <w:r>
        <w:rPr>
          <w:rFonts w:hint="default"/>
          <w:lang w:val="en-US" w:eastAsia="zh-CN"/>
        </w:rPr>
        <w:t>非建设空间资源方面，规划范围内符合国土空间规划的农田资源中约1.6万亩可直接用于农业种植，约0.6万亩整治完善后可用于农业种植。约0.2万亩现状为农田但规划为非农田的用地，近期可过渡利用为临时试验基地、临时观光采摘园等，远期随着规划实施逐步退出。</w:t>
      </w:r>
    </w:p>
    <w:p w14:paraId="0CED4D8C">
      <w:pPr>
        <w:pStyle w:val="3"/>
        <w:bidi w:val="0"/>
        <w:rPr>
          <w:rFonts w:hint="default"/>
          <w:lang w:val="en-US" w:eastAsia="zh-CN"/>
        </w:rPr>
      </w:pPr>
      <w:r>
        <w:rPr>
          <w:rFonts w:hint="default"/>
          <w:lang w:val="en-US" w:eastAsia="zh-CN"/>
        </w:rPr>
        <w:t>（五）基础设施支撑</w:t>
      </w:r>
    </w:p>
    <w:p w14:paraId="18E3F019">
      <w:pPr>
        <w:bidi w:val="0"/>
        <w:ind w:firstLine="560" w:firstLineChars="200"/>
        <w:rPr>
          <w:rFonts w:hint="default"/>
          <w:lang w:val="en-US" w:eastAsia="zh-CN"/>
        </w:rPr>
      </w:pPr>
      <w:r>
        <w:rPr>
          <w:rFonts w:hint="default"/>
          <w:lang w:val="en-US" w:eastAsia="zh-CN"/>
        </w:rPr>
        <w:t>结合园区建设需求和产业要素交通组织特征，补强公路网体系，规划明确了建设空间及非建设空间近期主要实施道路。规划搭建“大系统”+“微供应”的市政体系，宏观层面推动全域场站和管线建设，重点强化供排水和输变电能力，微观层面提出农田配套设施用能保障策略。</w:t>
      </w:r>
    </w:p>
    <w:p w14:paraId="1A8C9C4B">
      <w:pPr>
        <w:pStyle w:val="3"/>
        <w:bidi w:val="0"/>
        <w:rPr>
          <w:rFonts w:hint="default"/>
          <w:lang w:val="en-US" w:eastAsia="zh-CN"/>
        </w:rPr>
      </w:pPr>
      <w:r>
        <w:rPr>
          <w:rFonts w:hint="default"/>
          <w:lang w:val="en-US" w:eastAsia="zh-CN"/>
        </w:rPr>
        <w:t>（六）近期实施重点</w:t>
      </w:r>
    </w:p>
    <w:p w14:paraId="6BABA30B">
      <w:pPr>
        <w:bidi w:val="0"/>
        <w:ind w:firstLine="560" w:firstLineChars="200"/>
        <w:rPr>
          <w:rFonts w:hint="default"/>
          <w:lang w:val="en-US" w:eastAsia="zh-CN"/>
        </w:rPr>
      </w:pPr>
      <w:r>
        <w:rPr>
          <w:rFonts w:hint="default"/>
          <w:lang w:val="en-US" w:eastAsia="zh-CN"/>
        </w:rPr>
        <w:t>衔接“十五五”规划要求，围绕“产业能力提升、基础设施保障、规划实施保障”等重点事项，形成14项近期实施任务和53个近期项目，制定片区引导图则，推动规划高质量实施落地。</w:t>
      </w:r>
    </w:p>
    <w:p w14:paraId="66B83F2D">
      <w:pPr>
        <w:pStyle w:val="2"/>
        <w:bidi w:val="0"/>
        <w:rPr>
          <w:rFonts w:hint="default"/>
          <w:lang w:val="en-US" w:eastAsia="zh-CN"/>
        </w:rPr>
      </w:pPr>
      <w:r>
        <w:rPr>
          <w:rFonts w:hint="default"/>
          <w:lang w:val="en-US" w:eastAsia="zh-CN"/>
        </w:rPr>
        <w:t>四、实施保障措施</w:t>
      </w:r>
    </w:p>
    <w:p w14:paraId="4CBD6FD4">
      <w:pPr>
        <w:bidi w:val="0"/>
        <w:ind w:firstLine="562" w:firstLineChars="200"/>
        <w:rPr>
          <w:rFonts w:hint="default"/>
          <w:lang w:val="en-US" w:eastAsia="zh-CN"/>
        </w:rPr>
      </w:pPr>
      <w:r>
        <w:rPr>
          <w:rStyle w:val="27"/>
          <w:rFonts w:hint="default"/>
          <w:lang w:val="en-US" w:eastAsia="zh-CN"/>
        </w:rPr>
        <w:t>1.夯实科技要素底座：</w:t>
      </w:r>
      <w:r>
        <w:rPr>
          <w:rFonts w:hint="default"/>
          <w:lang w:val="en-US" w:eastAsia="zh-CN"/>
        </w:rPr>
        <w:t>搭建科研单位专家、企业技术人员、政府工作人员共同参与的科技服务体系。加快推进国际先进技术应用。</w:t>
      </w:r>
    </w:p>
    <w:p w14:paraId="0766C4A3">
      <w:pPr>
        <w:bidi w:val="0"/>
        <w:ind w:firstLine="562" w:firstLineChars="200"/>
        <w:rPr>
          <w:rFonts w:hint="default"/>
          <w:lang w:val="en-US" w:eastAsia="zh-CN"/>
        </w:rPr>
      </w:pPr>
      <w:r>
        <w:rPr>
          <w:rStyle w:val="27"/>
          <w:rFonts w:hint="default"/>
          <w:lang w:val="en-US" w:eastAsia="zh-CN"/>
        </w:rPr>
        <w:t>2.加强土地要素保障</w:t>
      </w:r>
      <w:r>
        <w:rPr>
          <w:rFonts w:hint="default"/>
          <w:lang w:val="en-US" w:eastAsia="zh-CN"/>
        </w:rPr>
        <w:t>：争取在全区范围内统筹调配建设指标。支持混合功能用地开发，盘活利用闲置农房用于种业相关产业发展，战略留白用地内支持使用可移动、轻量化、易拆除的建筑和设施临时开展育种试验等。支持建设必需的农业生产配套设施、高科技农业配套设施。</w:t>
      </w:r>
    </w:p>
    <w:p w14:paraId="2A78BCD4">
      <w:pPr>
        <w:bidi w:val="0"/>
        <w:ind w:firstLine="562" w:firstLineChars="200"/>
        <w:rPr>
          <w:rFonts w:hint="default"/>
          <w:lang w:val="en-US" w:eastAsia="zh-CN"/>
        </w:rPr>
      </w:pPr>
      <w:r>
        <w:rPr>
          <w:rStyle w:val="27"/>
          <w:rFonts w:hint="default"/>
          <w:lang w:val="en-US" w:eastAsia="zh-CN"/>
        </w:rPr>
        <w:t>3.吸引人才要素集聚：</w:t>
      </w:r>
      <w:r>
        <w:rPr>
          <w:rFonts w:hint="default"/>
          <w:lang w:val="en-US" w:eastAsia="zh-CN"/>
        </w:rPr>
        <w:t>重点引进技术型、管理型、创新型人才，提供配套政策。</w:t>
      </w:r>
    </w:p>
    <w:p w14:paraId="6D0CF983">
      <w:pPr>
        <w:bidi w:val="0"/>
        <w:ind w:firstLine="562" w:firstLineChars="200"/>
        <w:rPr>
          <w:rFonts w:hint="default"/>
          <w:lang w:val="en-US" w:eastAsia="zh-CN"/>
        </w:rPr>
      </w:pPr>
      <w:r>
        <w:rPr>
          <w:rStyle w:val="27"/>
          <w:rFonts w:hint="default"/>
          <w:lang w:val="en-US" w:eastAsia="zh-CN"/>
        </w:rPr>
        <w:t>4.增强数据要素支撑：</w:t>
      </w:r>
      <w:r>
        <w:rPr>
          <w:rFonts w:hint="default"/>
          <w:lang w:val="en-US" w:eastAsia="zh-CN"/>
        </w:rPr>
        <w:t>推进农业专用大模型、智能育种平台和农业通用工具等软件研发。加强主要种业科技产品产销数据和市场信息服务。</w:t>
      </w:r>
    </w:p>
    <w:p w14:paraId="1A555474">
      <w:pPr>
        <w:bidi w:val="0"/>
        <w:ind w:firstLine="562" w:firstLineChars="200"/>
        <w:rPr>
          <w:rFonts w:hint="default"/>
          <w:lang w:val="en-US" w:eastAsia="zh-CN"/>
        </w:rPr>
      </w:pPr>
      <w:r>
        <w:rPr>
          <w:rStyle w:val="27"/>
          <w:rFonts w:hint="default"/>
          <w:lang w:val="en-US" w:eastAsia="zh-CN"/>
        </w:rPr>
        <w:t>5.加大资金要素保障：</w:t>
      </w:r>
      <w:r>
        <w:rPr>
          <w:rFonts w:hint="default"/>
          <w:lang w:val="en-US" w:eastAsia="zh-CN"/>
        </w:rPr>
        <w:t>制定鼓励规模化经营的多元补助方式。以自主投资、与政府合作、公共参与等模式，建立非建设用地保护修复投入与建设用地指标捆绑政策等。</w:t>
      </w:r>
    </w:p>
    <w:p w14:paraId="0005E1EC">
      <w:pPr>
        <w:bidi w:val="0"/>
        <w:ind w:firstLine="562" w:firstLineChars="200"/>
        <w:rPr>
          <w:rFonts w:hint="default"/>
          <w:lang w:val="en-US" w:eastAsia="zh-CN"/>
        </w:rPr>
      </w:pPr>
      <w:r>
        <w:rPr>
          <w:rStyle w:val="27"/>
          <w:rFonts w:hint="default"/>
          <w:lang w:val="en-US" w:eastAsia="zh-CN"/>
        </w:rPr>
        <w:t>6.优化资源环境市场：</w:t>
      </w:r>
      <w:r>
        <w:rPr>
          <w:rFonts w:hint="default"/>
          <w:lang w:val="en-US" w:eastAsia="zh-CN"/>
        </w:rPr>
        <w:t>推动文化旅游、试验展示等种业产业环节纳入绿色要素交易市场，量化种业相关生态产品价值，推动种业相关产业纳入全区和北京市生态产品交易机制。</w:t>
      </w:r>
    </w:p>
    <w:p w14:paraId="604E2BCA">
      <w:pPr>
        <w:bidi w:val="0"/>
        <w:ind w:firstLine="562" w:firstLineChars="200"/>
        <w:rPr>
          <w:rFonts w:hint="default"/>
          <w:lang w:val="en-US" w:eastAsia="zh-CN"/>
        </w:rPr>
      </w:pPr>
      <w:r>
        <w:rPr>
          <w:rStyle w:val="27"/>
          <w:rFonts w:hint="default"/>
          <w:lang w:val="en-US" w:eastAsia="zh-CN"/>
        </w:rPr>
        <w:t>7.推动政策机制创新：</w:t>
      </w:r>
      <w:r>
        <w:rPr>
          <w:rFonts w:hint="default"/>
          <w:lang w:val="en-US" w:eastAsia="zh-CN"/>
        </w:rPr>
        <w:t>完善入驻园区的奖励政策、种业应用场景建设支持政策等，争取园区享受农业中关村在创新资源引入、市级资金支持等方面的政策。</w:t>
      </w:r>
    </w:p>
    <w:p w14:paraId="411418FC">
      <w:pPr>
        <w:bidi w:val="0"/>
        <w:ind w:firstLine="560" w:firstLineChars="200"/>
        <w:rPr>
          <w:rFonts w:hint="default"/>
          <w:lang w:val="en-US" w:eastAsia="zh-CN"/>
        </w:rPr>
      </w:pPr>
      <w:r>
        <w:rPr>
          <w:rFonts w:hint="default"/>
          <w:lang w:val="en-US" w:eastAsia="zh-CN"/>
        </w:rPr>
        <w:t>https://www.bjtzh.gov.cn/bjtz/jdhy/202511/1773580.shtml</w:t>
      </w:r>
      <w:bookmarkStart w:id="0" w:name="_GoBack"/>
      <w:bookmarkEnd w:id="0"/>
    </w:p>
    <w:p w14:paraId="105E5F3C">
      <w:pPr>
        <w:bidi w:val="0"/>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C96E0E"/>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2FB50998"/>
    <w:rsid w:val="304240F7"/>
    <w:rsid w:val="308B2F81"/>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CF97814"/>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2025-12-01T06:52:05Z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8544557A924B4CF2947310788C4FF9ED_13</vt:lpwstr>
  </property>
  <property fmtid="{D5CDD505-2E9C-101B-9397-08002B2CF9AE}" pid="4" name="KSOTemplateDocerSaveRecord">
    <vt:lpwstr>eyJoZGlkIjoiM2JiNDc5YjNlNzUwNGE3ZjRiZjg4NmI0YjQzZjM0NWQiLCJ1c2VySWQiOiIxNDU2NzYxMDUwIn0=</vt:lpwstr>
  </property>
</Properties>
</file>