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4B55C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一图读懂：《平谷区汽车维修企业挥发性有机物治理设备升级改造奖补实施办法》的解读</w:t>
      </w:r>
    </w:p>
    <w:p w14:paraId="105E5F3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来源：北京市平谷区交通局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default"/>
          <w:lang w:val="en-US" w:eastAsia="zh-CN"/>
        </w:rPr>
        <w:t>发布时间：2025年11月28日08:32</w:t>
      </w:r>
    </w:p>
    <w:p w14:paraId="6C04C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3848100" cy="7467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10000" cy="8553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33825" cy="876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https://www.bjpg.gov.cn/pgqrmzf/zwxx0/zcjd30/616416/1223260/index.html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205232B8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B35B31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4163C6F"/>
    <w:rsid w:val="34FC0B26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F83063"/>
    <w:rsid w:val="53974E43"/>
    <w:rsid w:val="54581D88"/>
    <w:rsid w:val="547A21C6"/>
    <w:rsid w:val="56A05C5E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1BA3F4C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2025-12-01T10:03:14Z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BE4F51468DD741079677516C6DD841EE_13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