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FD7B7">
      <w:pPr>
        <w:pStyle w:val="13"/>
        <w:bidi w:val="0"/>
        <w:rPr>
          <w:rFonts w:hint="default"/>
          <w:lang w:val="en-US" w:eastAsia="zh-CN"/>
        </w:rPr>
      </w:pPr>
      <w:r>
        <w:rPr>
          <w:rFonts w:hint="default"/>
          <w:lang w:val="en-US" w:eastAsia="zh-CN"/>
        </w:rPr>
        <w:t>《北京经济技术开发区促进绿色低碳高质量发展若干措施（2.0版）》政策解读</w:t>
      </w:r>
    </w:p>
    <w:p w14:paraId="2888BD2F">
      <w:pPr>
        <w:pStyle w:val="8"/>
        <w:bidi w:val="0"/>
        <w:rPr>
          <w:rFonts w:hint="default"/>
          <w:lang w:val="en-US" w:eastAsia="zh-CN"/>
        </w:rPr>
      </w:pPr>
      <w:r>
        <w:rPr>
          <w:rFonts w:hint="default"/>
          <w:lang w:val="en-US" w:eastAsia="zh-CN"/>
        </w:rPr>
        <w:t>来源：北京经济技术开发区生态环境建设局</w:t>
      </w:r>
      <w:r>
        <w:rPr>
          <w:rFonts w:hint="eastAsia"/>
          <w:lang w:val="en-US" w:eastAsia="zh-CN"/>
        </w:rPr>
        <w:t xml:space="preserve">             </w:t>
      </w:r>
      <w:r>
        <w:rPr>
          <w:rFonts w:hint="default"/>
          <w:lang w:val="en-US" w:eastAsia="zh-CN"/>
        </w:rPr>
        <w:t>时间：2025年11月30日</w:t>
      </w:r>
    </w:p>
    <w:p w14:paraId="51BCCE9E">
      <w:pPr>
        <w:bidi w:val="0"/>
        <w:ind w:firstLine="560" w:firstLineChars="200"/>
        <w:rPr>
          <w:rFonts w:hint="default"/>
          <w:lang w:val="en-US" w:eastAsia="zh-CN"/>
        </w:rPr>
      </w:pPr>
      <w:r>
        <w:rPr>
          <w:rFonts w:hint="default"/>
          <w:lang w:val="en-US" w:eastAsia="zh-CN"/>
        </w:rPr>
        <w:t>政策文件：北京经济技术开发区管理委员会印发《北京经济技术开发区关于促进绿色低碳高质量发展的若干措施（2.0版）》的通知</w:t>
      </w:r>
    </w:p>
    <w:p w14:paraId="20FE4182">
      <w:pPr>
        <w:pStyle w:val="2"/>
        <w:bidi w:val="0"/>
        <w:rPr>
          <w:rFonts w:hint="default"/>
          <w:lang w:val="en-US" w:eastAsia="zh-CN"/>
        </w:rPr>
      </w:pPr>
      <w:r>
        <w:rPr>
          <w:rFonts w:hint="default"/>
          <w:lang w:val="en-US" w:eastAsia="zh-CN"/>
        </w:rPr>
        <w:t>一、政策有哪些新调整？</w:t>
      </w:r>
    </w:p>
    <w:p w14:paraId="705B5FE2">
      <w:pPr>
        <w:bidi w:val="0"/>
        <w:ind w:firstLine="560" w:firstLineChars="200"/>
        <w:rPr>
          <w:rFonts w:hint="default"/>
          <w:lang w:val="en-US" w:eastAsia="zh-CN"/>
        </w:rPr>
      </w:pPr>
      <w:r>
        <w:rPr>
          <w:rFonts w:hint="default"/>
          <w:lang w:val="en-US" w:eastAsia="zh-CN"/>
        </w:rPr>
        <w:t>本次政策修订主要涉及以下内容：一是删除原政策第19条“零排放货物运输车队”这条措施。二是将原政策第20条拆分为两条：“绿色物流”和“绿色通勤”；同时将原政策中支持条件模糊、标准不明确、表述不合适的内容调整完善。</w:t>
      </w:r>
    </w:p>
    <w:p w14:paraId="04D5A185">
      <w:pPr>
        <w:pStyle w:val="2"/>
        <w:bidi w:val="0"/>
        <w:rPr>
          <w:rFonts w:hint="default"/>
          <w:lang w:val="en-US" w:eastAsia="zh-CN"/>
        </w:rPr>
      </w:pPr>
      <w:r>
        <w:rPr>
          <w:rFonts w:hint="default"/>
          <w:lang w:val="en-US" w:eastAsia="zh-CN"/>
        </w:rPr>
        <w:t>二、政策修订涉及的主要条款有什么？</w:t>
      </w:r>
    </w:p>
    <w:p w14:paraId="4A109CC9">
      <w:pPr>
        <w:bidi w:val="0"/>
        <w:ind w:firstLine="560" w:firstLineChars="200"/>
        <w:rPr>
          <w:rFonts w:hint="default"/>
          <w:lang w:val="en-US" w:eastAsia="zh-CN"/>
        </w:rPr>
      </w:pPr>
      <w:r>
        <w:rPr>
          <w:rFonts w:hint="default"/>
          <w:lang w:val="en-US" w:eastAsia="zh-CN"/>
        </w:rPr>
        <w:t>本次政策修订主要涉及第19条、第20条、第31条，修订后条款如下：</w:t>
      </w:r>
    </w:p>
    <w:p w14:paraId="2D12149D">
      <w:pPr>
        <w:bidi w:val="0"/>
        <w:ind w:firstLine="560" w:firstLineChars="200"/>
        <w:rPr>
          <w:rFonts w:hint="default"/>
          <w:lang w:val="en-US" w:eastAsia="zh-CN"/>
        </w:rPr>
      </w:pPr>
      <w:r>
        <w:rPr>
          <w:rFonts w:hint="default"/>
          <w:lang w:val="en-US" w:eastAsia="zh-CN"/>
        </w:rPr>
        <w:t>19.绿色物流。鼓励大宗物流、城市配送、冷链物流、混凝土和渣土运输等领域的企业，加强上下游供应链协作，鼓励使用国六排放标准和新能源货运车辆，共同推进物流运输全面绿色转型。企业入场货物运输车辆中，国六排放标准和新能源车车次占比达到60%及以上的，每辆车每月奖励0.1万元；占比达到80%及以上的，每辆车每月奖励0.2万元。入场货物运输车辆100%为新能源车的，每辆车每月奖励0.3万元。鼓励企业在空气污染过程期间进一步提高绿色运输比例，鼓励企业安装移动源门禁及视频监控系统，并与区有关部门联网，每套门禁系统奖励10万元。</w:t>
      </w:r>
    </w:p>
    <w:p w14:paraId="4F67AAF5">
      <w:pPr>
        <w:bidi w:val="0"/>
        <w:ind w:firstLine="560" w:firstLineChars="200"/>
        <w:rPr>
          <w:rFonts w:hint="default"/>
          <w:lang w:val="en-US" w:eastAsia="zh-CN"/>
        </w:rPr>
      </w:pPr>
      <w:r>
        <w:rPr>
          <w:rFonts w:hint="default"/>
          <w:lang w:val="en-US" w:eastAsia="zh-CN"/>
        </w:rPr>
        <w:t>20.绿色通勤。鼓励用车单位、客运单位、能源供应商共建新能源运力池，共同推进绿色通勤。企业将长期租赁的燃油燃气大中型客车置换为新能源车辆的给予资金奖励，奖励标准为每辆新能源车一次性6万元。</w:t>
      </w:r>
    </w:p>
    <w:p w14:paraId="72E3FE47">
      <w:pPr>
        <w:bidi w:val="0"/>
        <w:ind w:firstLine="560" w:firstLineChars="200"/>
        <w:rPr>
          <w:rFonts w:hint="default"/>
          <w:lang w:val="en-US" w:eastAsia="zh-CN"/>
        </w:rPr>
      </w:pPr>
      <w:r>
        <w:rPr>
          <w:rFonts w:hint="default"/>
          <w:lang w:val="en-US" w:eastAsia="zh-CN"/>
        </w:rPr>
        <w:t>31.节能减碳服务。围绕经开区“绿色服务生态圈”建设目标，鼓励亦庄新城内的协会、联盟、咨询机构等咨询服务单位开展节能降碳、清洁生产、能源审计、碳核查、碳中和认证等具有示范效应的技术咨询策划业务，对亦庄新城范围内用能单位或碳排放单位开展以上技术咨询策划业务的咨询服务单位，每年度服务每家奖励2万元，每家咨询服务单位每年度最高奖励10万元。</w:t>
      </w:r>
    </w:p>
    <w:p w14:paraId="4ED6B51C">
      <w:pPr>
        <w:pStyle w:val="2"/>
        <w:bidi w:val="0"/>
        <w:rPr>
          <w:rFonts w:hint="default"/>
          <w:lang w:val="en-US" w:eastAsia="zh-CN"/>
        </w:rPr>
      </w:pPr>
      <w:r>
        <w:rPr>
          <w:rFonts w:hint="default"/>
          <w:lang w:val="en-US" w:eastAsia="zh-CN"/>
        </w:rPr>
        <w:t>三、如何申报？</w:t>
      </w:r>
    </w:p>
    <w:p w14:paraId="105E5F3C">
      <w:pPr>
        <w:bidi w:val="0"/>
        <w:ind w:firstLine="560" w:firstLineChars="200"/>
        <w:rPr>
          <w:rFonts w:hint="default"/>
          <w:lang w:val="en-US" w:eastAsia="zh-CN"/>
        </w:rPr>
      </w:pPr>
      <w:r>
        <w:rPr>
          <w:rFonts w:hint="default"/>
          <w:lang w:val="en-US" w:eastAsia="zh-CN"/>
        </w:rPr>
        <w:t>政策相关申报要求将在政策兑现综合服务平台发布，请关注政策兑现综合服务平台的申报通知（https://zcdx.kfqgw.beijing.gov.cn/#/notice）</w:t>
      </w:r>
    </w:p>
    <w:p w14:paraId="7144B219">
      <w:pPr>
        <w:bidi w:val="0"/>
        <w:ind w:firstLine="560" w:firstLineChars="200"/>
        <w:rPr>
          <w:rFonts w:hint="default"/>
          <w:lang w:val="en-US" w:eastAsia="zh-CN"/>
        </w:rPr>
      </w:pPr>
      <w:r>
        <w:rPr>
          <w:rFonts w:hint="default"/>
          <w:lang w:val="en-US" w:eastAsia="zh-CN"/>
        </w:rPr>
        <w:t>https://kfqgw.beijing.gov.cn/zwgkkfq/2024zcjd/202511/t20251128_4310288.html</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D05B37"/>
    <w:rsid w:val="02054F52"/>
    <w:rsid w:val="02A14C7A"/>
    <w:rsid w:val="02F51BDC"/>
    <w:rsid w:val="03E5615F"/>
    <w:rsid w:val="03FA2AAA"/>
    <w:rsid w:val="04E5597F"/>
    <w:rsid w:val="05CC0449"/>
    <w:rsid w:val="05CC6BA7"/>
    <w:rsid w:val="05F56545"/>
    <w:rsid w:val="06961A26"/>
    <w:rsid w:val="06F32EE1"/>
    <w:rsid w:val="072E100E"/>
    <w:rsid w:val="07D41004"/>
    <w:rsid w:val="08232C96"/>
    <w:rsid w:val="085C54C1"/>
    <w:rsid w:val="089325F7"/>
    <w:rsid w:val="093C70F8"/>
    <w:rsid w:val="09C57E5E"/>
    <w:rsid w:val="0A3D2F70"/>
    <w:rsid w:val="0A9919F0"/>
    <w:rsid w:val="0B9079F1"/>
    <w:rsid w:val="0E1238D7"/>
    <w:rsid w:val="0E592DD6"/>
    <w:rsid w:val="0EBE39E4"/>
    <w:rsid w:val="0F033741"/>
    <w:rsid w:val="0F9E1127"/>
    <w:rsid w:val="0FC26D8E"/>
    <w:rsid w:val="122C71D3"/>
    <w:rsid w:val="12B6109D"/>
    <w:rsid w:val="135C6A68"/>
    <w:rsid w:val="14AC3169"/>
    <w:rsid w:val="14BA55A9"/>
    <w:rsid w:val="16E465E6"/>
    <w:rsid w:val="17841624"/>
    <w:rsid w:val="17B571BE"/>
    <w:rsid w:val="17EB6A4A"/>
    <w:rsid w:val="187A04AD"/>
    <w:rsid w:val="188602CE"/>
    <w:rsid w:val="191F6B75"/>
    <w:rsid w:val="19DB3E43"/>
    <w:rsid w:val="1A3F168A"/>
    <w:rsid w:val="1ACD4BC9"/>
    <w:rsid w:val="1AD00105"/>
    <w:rsid w:val="1AF0592E"/>
    <w:rsid w:val="1C1F5C60"/>
    <w:rsid w:val="1C26202E"/>
    <w:rsid w:val="1CFA082A"/>
    <w:rsid w:val="1D75769C"/>
    <w:rsid w:val="1DC513AD"/>
    <w:rsid w:val="1E486D5E"/>
    <w:rsid w:val="1E4A3FB3"/>
    <w:rsid w:val="205232B8"/>
    <w:rsid w:val="20E515DF"/>
    <w:rsid w:val="20EE4514"/>
    <w:rsid w:val="22A660F0"/>
    <w:rsid w:val="23350630"/>
    <w:rsid w:val="239C0C8D"/>
    <w:rsid w:val="2458023C"/>
    <w:rsid w:val="24891F4C"/>
    <w:rsid w:val="24FB777E"/>
    <w:rsid w:val="26BE469D"/>
    <w:rsid w:val="27B35B31"/>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2FB50998"/>
    <w:rsid w:val="304240F7"/>
    <w:rsid w:val="308B2F81"/>
    <w:rsid w:val="30CE2A00"/>
    <w:rsid w:val="30D427EB"/>
    <w:rsid w:val="31604062"/>
    <w:rsid w:val="31AC3498"/>
    <w:rsid w:val="31BA36E4"/>
    <w:rsid w:val="34163C6F"/>
    <w:rsid w:val="34FC0B26"/>
    <w:rsid w:val="35CC7FE4"/>
    <w:rsid w:val="3690254F"/>
    <w:rsid w:val="36A97561"/>
    <w:rsid w:val="370B0758"/>
    <w:rsid w:val="385A2C02"/>
    <w:rsid w:val="38D5360F"/>
    <w:rsid w:val="3A6A181A"/>
    <w:rsid w:val="3B005163"/>
    <w:rsid w:val="3BC5648D"/>
    <w:rsid w:val="3C131F35"/>
    <w:rsid w:val="3C5A3112"/>
    <w:rsid w:val="3C6D35BD"/>
    <w:rsid w:val="3C8B707E"/>
    <w:rsid w:val="3D242F7A"/>
    <w:rsid w:val="3DD22B7E"/>
    <w:rsid w:val="3E180F94"/>
    <w:rsid w:val="3E9C40F3"/>
    <w:rsid w:val="40B15178"/>
    <w:rsid w:val="411478ED"/>
    <w:rsid w:val="4139196E"/>
    <w:rsid w:val="417A5F93"/>
    <w:rsid w:val="41F148E0"/>
    <w:rsid w:val="4296377D"/>
    <w:rsid w:val="42F8070A"/>
    <w:rsid w:val="430E0353"/>
    <w:rsid w:val="433C38D6"/>
    <w:rsid w:val="43E262FF"/>
    <w:rsid w:val="441C68B9"/>
    <w:rsid w:val="446948F1"/>
    <w:rsid w:val="44EB20B0"/>
    <w:rsid w:val="45B9632A"/>
    <w:rsid w:val="46C774AF"/>
    <w:rsid w:val="46EA41BF"/>
    <w:rsid w:val="47407E1B"/>
    <w:rsid w:val="480F418D"/>
    <w:rsid w:val="485C7A85"/>
    <w:rsid w:val="486F5D2C"/>
    <w:rsid w:val="48960A59"/>
    <w:rsid w:val="48B50035"/>
    <w:rsid w:val="49601AD1"/>
    <w:rsid w:val="4B077B9F"/>
    <w:rsid w:val="4CF97814"/>
    <w:rsid w:val="4D797ECA"/>
    <w:rsid w:val="4E7271B8"/>
    <w:rsid w:val="4EB31BF9"/>
    <w:rsid w:val="4F216E80"/>
    <w:rsid w:val="4F6B7653"/>
    <w:rsid w:val="50434E3C"/>
    <w:rsid w:val="505020B9"/>
    <w:rsid w:val="50FA021C"/>
    <w:rsid w:val="514A0E57"/>
    <w:rsid w:val="515B6E68"/>
    <w:rsid w:val="52511EB8"/>
    <w:rsid w:val="528945A2"/>
    <w:rsid w:val="52F83063"/>
    <w:rsid w:val="53974E43"/>
    <w:rsid w:val="54581D88"/>
    <w:rsid w:val="547A21C6"/>
    <w:rsid w:val="56A05C5E"/>
    <w:rsid w:val="57691CAA"/>
    <w:rsid w:val="579B39F0"/>
    <w:rsid w:val="57A37E38"/>
    <w:rsid w:val="587662C1"/>
    <w:rsid w:val="58E45E5C"/>
    <w:rsid w:val="58EC7D1F"/>
    <w:rsid w:val="58F46CD2"/>
    <w:rsid w:val="5966249A"/>
    <w:rsid w:val="599D54F4"/>
    <w:rsid w:val="59B10FA6"/>
    <w:rsid w:val="5ABE63C0"/>
    <w:rsid w:val="5B5F3C17"/>
    <w:rsid w:val="5B8D4F11"/>
    <w:rsid w:val="5C0F18E6"/>
    <w:rsid w:val="5C4B3179"/>
    <w:rsid w:val="5CC16308"/>
    <w:rsid w:val="5D942074"/>
    <w:rsid w:val="5F173C19"/>
    <w:rsid w:val="5F42540D"/>
    <w:rsid w:val="5FA34DE1"/>
    <w:rsid w:val="605308F0"/>
    <w:rsid w:val="60F01468"/>
    <w:rsid w:val="613B531F"/>
    <w:rsid w:val="61537BFA"/>
    <w:rsid w:val="61941FCD"/>
    <w:rsid w:val="61A372B8"/>
    <w:rsid w:val="61CC184F"/>
    <w:rsid w:val="61FB7F6E"/>
    <w:rsid w:val="626A293A"/>
    <w:rsid w:val="62EC6305"/>
    <w:rsid w:val="632C62D6"/>
    <w:rsid w:val="65EC32C5"/>
    <w:rsid w:val="662C091E"/>
    <w:rsid w:val="667367D3"/>
    <w:rsid w:val="66801568"/>
    <w:rsid w:val="6717752F"/>
    <w:rsid w:val="672013EF"/>
    <w:rsid w:val="67697562"/>
    <w:rsid w:val="68BE2276"/>
    <w:rsid w:val="695B7490"/>
    <w:rsid w:val="69C218FE"/>
    <w:rsid w:val="6A745758"/>
    <w:rsid w:val="6C270DD3"/>
    <w:rsid w:val="6C705350"/>
    <w:rsid w:val="6D872A5A"/>
    <w:rsid w:val="6E1F25FD"/>
    <w:rsid w:val="6E413E28"/>
    <w:rsid w:val="6F4638FD"/>
    <w:rsid w:val="70956FE4"/>
    <w:rsid w:val="70CB583F"/>
    <w:rsid w:val="71020CE1"/>
    <w:rsid w:val="733B7399"/>
    <w:rsid w:val="73F7433F"/>
    <w:rsid w:val="74185C2E"/>
    <w:rsid w:val="74FE333F"/>
    <w:rsid w:val="75100625"/>
    <w:rsid w:val="756F626F"/>
    <w:rsid w:val="75930F1E"/>
    <w:rsid w:val="75C2525F"/>
    <w:rsid w:val="775748F9"/>
    <w:rsid w:val="77BF12F7"/>
    <w:rsid w:val="78264085"/>
    <w:rsid w:val="79060B26"/>
    <w:rsid w:val="798E17BF"/>
    <w:rsid w:val="79D16624"/>
    <w:rsid w:val="79DD1DCA"/>
    <w:rsid w:val="79E44119"/>
    <w:rsid w:val="7A5A1A94"/>
    <w:rsid w:val="7AA0221D"/>
    <w:rsid w:val="7AD37490"/>
    <w:rsid w:val="7B705706"/>
    <w:rsid w:val="7D470D1C"/>
    <w:rsid w:val="7DC13580"/>
    <w:rsid w:val="7DCC36B1"/>
    <w:rsid w:val="7E0E1F5B"/>
    <w:rsid w:val="7E223400"/>
    <w:rsid w:val="7E977136"/>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832</Words>
  <Characters>982</Characters>
  <Lines>1</Lines>
  <Paragraphs>1</Paragraphs>
  <TotalTime>18</TotalTime>
  <ScaleCrop>false</ScaleCrop>
  <LinksUpToDate>false</LinksUpToDate>
  <CharactersWithSpaces>995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2025-12-01T07:31:33Z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3A4FD2918B99460798E6C0C63FF947AE_13</vt:lpwstr>
  </property>
  <property fmtid="{D5CDD505-2E9C-101B-9397-08002B2CF9AE}" pid="4" name="KSOTemplateDocerSaveRecord">
    <vt:lpwstr>eyJoZGlkIjoiM2JiNDc5YjNlNzUwNGE3ZjRiZjg4NmI0YjQzZjM0NWQiLCJ1c2VySWQiOiIxNDU2NzYxMDUwIn0=</vt:lpwstr>
  </property>
</Properties>
</file>