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9D601">
      <w:pPr>
        <w:pStyle w:val="13"/>
        <w:bidi w:val="0"/>
        <w:rPr>
          <w:rFonts w:hint="default"/>
          <w:lang w:val="en-US" w:eastAsia="zh-CN"/>
        </w:rPr>
      </w:pPr>
      <w:r>
        <w:rPr>
          <w:rFonts w:hint="default"/>
          <w:lang w:val="en-US" w:eastAsia="zh-CN"/>
        </w:rPr>
        <w:t>关于《门头沟区促进信息传输、软件和信息技术服务业高质量发展若干措施》的问答解读</w:t>
      </w:r>
    </w:p>
    <w:p w14:paraId="0C3B04EB">
      <w:pPr>
        <w:pStyle w:val="8"/>
        <w:bidi w:val="0"/>
        <w:jc w:val="left"/>
        <w:rPr>
          <w:rFonts w:hint="default"/>
          <w:lang w:val="en-US" w:eastAsia="zh-CN"/>
        </w:rPr>
      </w:pPr>
      <w:r>
        <w:rPr>
          <w:rFonts w:hint="default"/>
          <w:lang w:val="en-US" w:eastAsia="zh-CN"/>
        </w:rPr>
        <w:t>日期：2025-08-13</w:t>
      </w:r>
      <w:r>
        <w:rPr>
          <w:rFonts w:hint="eastAsia"/>
          <w:lang w:val="en-US" w:eastAsia="zh-CN"/>
        </w:rPr>
        <w:t xml:space="preserve">                       </w:t>
      </w:r>
      <w:r>
        <w:rPr>
          <w:rFonts w:hint="default"/>
          <w:lang w:val="en-US" w:eastAsia="zh-CN"/>
        </w:rPr>
        <w:t>来源：北京市门头沟区经济和信息化局</w:t>
      </w:r>
    </w:p>
    <w:p w14:paraId="1245C33E">
      <w:pPr>
        <w:bidi w:val="0"/>
        <w:ind w:firstLine="560" w:firstLineChars="200"/>
        <w:rPr>
          <w:rFonts w:hint="default"/>
          <w:lang w:val="en-US" w:eastAsia="zh-CN"/>
        </w:rPr>
      </w:pPr>
      <w:r>
        <w:rPr>
          <w:rFonts w:hint="default"/>
          <w:lang w:val="en-US" w:eastAsia="zh-CN"/>
        </w:rPr>
        <w:t>政策文件：北京市门头沟区经济和信息化局关于印发《门头沟区促进信息传输、软件和信息技术服务业高质量发展若干措施》的通知</w:t>
      </w:r>
    </w:p>
    <w:p w14:paraId="12E1B23C">
      <w:pPr>
        <w:pStyle w:val="2"/>
        <w:bidi w:val="0"/>
        <w:rPr>
          <w:rFonts w:hint="default"/>
          <w:lang w:val="en-US" w:eastAsia="zh-CN"/>
        </w:rPr>
      </w:pPr>
      <w:r>
        <w:rPr>
          <w:rFonts w:hint="default"/>
          <w:lang w:val="en-US" w:eastAsia="zh-CN"/>
        </w:rPr>
        <w:t>一、《门头沟区促进信息传输、软件和信息技术服务业高质量发展若干措施》的制定背景是什么？</w:t>
      </w:r>
    </w:p>
    <w:p w14:paraId="257A3995">
      <w:pPr>
        <w:bidi w:val="0"/>
        <w:ind w:firstLine="560" w:firstLineChars="200"/>
        <w:rPr>
          <w:rFonts w:hint="default"/>
          <w:lang w:val="en-US" w:eastAsia="zh-CN"/>
        </w:rPr>
      </w:pPr>
      <w:r>
        <w:rPr>
          <w:rFonts w:hint="default"/>
          <w:lang w:val="en-US" w:eastAsia="zh-CN"/>
        </w:rPr>
        <w:t>为推动门头沟区人工智能、计算视听、心血管创新药械“三大产业”加速发展，遵循盘活存量、引进增量、壮大总量的发展思路，加快培育新质生产力，推动信息传输、软件和信息技术服务业高质量发展，结合门头沟区实际，制定本措施。</w:t>
      </w:r>
    </w:p>
    <w:p w14:paraId="74D042F7">
      <w:pPr>
        <w:pStyle w:val="2"/>
        <w:bidi w:val="0"/>
        <w:rPr>
          <w:rFonts w:hint="default"/>
          <w:lang w:val="en-US" w:eastAsia="zh-CN"/>
        </w:rPr>
      </w:pPr>
      <w:r>
        <w:rPr>
          <w:rFonts w:hint="default"/>
          <w:lang w:val="en-US" w:eastAsia="zh-CN"/>
        </w:rPr>
        <w:t>二、《门头沟区促进信息传输、软件和信息技术服务业高质量发展若干措施》所涉及的范围有哪些？</w:t>
      </w:r>
    </w:p>
    <w:p w14:paraId="4DEA18FB">
      <w:pPr>
        <w:bidi w:val="0"/>
        <w:ind w:firstLine="560" w:firstLineChars="200"/>
        <w:rPr>
          <w:rFonts w:hint="default"/>
          <w:lang w:val="en-US" w:eastAsia="zh-CN"/>
        </w:rPr>
      </w:pPr>
      <w:r>
        <w:rPr>
          <w:rFonts w:hint="default"/>
          <w:lang w:val="en-US" w:eastAsia="zh-CN"/>
        </w:rPr>
        <w:t>在门头沟区登记注册，具有独立法人或非法人主体资格，近三年以来没有严重失信记录的企业。</w:t>
      </w:r>
    </w:p>
    <w:p w14:paraId="2AB0CD90">
      <w:pPr>
        <w:bidi w:val="0"/>
        <w:ind w:firstLine="560" w:firstLineChars="200"/>
        <w:rPr>
          <w:rFonts w:hint="default"/>
          <w:lang w:val="en-US" w:eastAsia="zh-CN"/>
        </w:rPr>
      </w:pPr>
      <w:r>
        <w:rPr>
          <w:rFonts w:hint="default"/>
          <w:lang w:val="en-US" w:eastAsia="zh-CN"/>
        </w:rPr>
        <w:t>第二条的支持范围为符合支持标准的企业；第一条、第三条到第十二条的支持范围为符合支持标准的信软企业；第十三条的支持范围为符合支持标准的产业服务平台。</w:t>
      </w:r>
    </w:p>
    <w:p w14:paraId="13E6FE94">
      <w:pPr>
        <w:pStyle w:val="2"/>
        <w:bidi w:val="0"/>
        <w:rPr>
          <w:rFonts w:hint="default"/>
          <w:lang w:val="en-US" w:eastAsia="zh-CN"/>
        </w:rPr>
      </w:pPr>
      <w:r>
        <w:rPr>
          <w:rFonts w:hint="default"/>
          <w:lang w:val="en-US" w:eastAsia="zh-CN"/>
        </w:rPr>
        <w:t>三、《门头沟区促进信息传输、软件和信息技术服务业高质量发展若干措施》主要针对哪些方向进行支持？</w:t>
      </w:r>
    </w:p>
    <w:p w14:paraId="13391B31">
      <w:pPr>
        <w:bidi w:val="0"/>
        <w:ind w:firstLine="560" w:firstLineChars="200"/>
        <w:rPr>
          <w:rFonts w:hint="default"/>
          <w:lang w:val="en-US" w:eastAsia="zh-CN"/>
        </w:rPr>
      </w:pPr>
      <w:r>
        <w:rPr>
          <w:rFonts w:hint="default"/>
          <w:lang w:val="en-US" w:eastAsia="zh-CN"/>
        </w:rPr>
        <w:t>该措施共涉及六个支持方向，从强化国家和市级支持的区级配套、支持企业加大自主创新投入、促进人工智能大模型企业加速发展、推动数据要素市场化配置、鼓励企业扩大经营带动地区发展、支持服务机构助力地区和企业发展进行支持。</w:t>
      </w:r>
    </w:p>
    <w:p w14:paraId="382E17ED">
      <w:pPr>
        <w:bidi w:val="0"/>
        <w:ind w:firstLine="560" w:firstLineChars="200"/>
        <w:rPr>
          <w:rFonts w:hint="default"/>
          <w:lang w:val="en-US" w:eastAsia="zh-CN"/>
        </w:rPr>
      </w:pPr>
      <w:r>
        <w:rPr>
          <w:rFonts w:hint="default"/>
          <w:lang w:val="en-US" w:eastAsia="zh-CN"/>
        </w:rPr>
        <w:t>一是对获得国家和北京市级应用场景政策资金支持的项目，给予资金支持。</w:t>
      </w:r>
    </w:p>
    <w:p w14:paraId="3B725417">
      <w:pPr>
        <w:bidi w:val="0"/>
        <w:ind w:firstLine="560" w:firstLineChars="200"/>
        <w:rPr>
          <w:rFonts w:hint="default"/>
          <w:lang w:val="en-US" w:eastAsia="zh-CN"/>
        </w:rPr>
      </w:pPr>
      <w:r>
        <w:rPr>
          <w:rFonts w:hint="default"/>
          <w:lang w:val="en-US" w:eastAsia="zh-CN"/>
        </w:rPr>
        <w:t>二是对产品被国家、北京市认定为首台（套）重大技术装备产品的企业，给予资金支持。</w:t>
      </w:r>
    </w:p>
    <w:p w14:paraId="3B4F23AC">
      <w:pPr>
        <w:bidi w:val="0"/>
        <w:ind w:firstLine="560" w:firstLineChars="200"/>
        <w:rPr>
          <w:rFonts w:hint="default"/>
          <w:lang w:val="en-US" w:eastAsia="zh-CN"/>
        </w:rPr>
      </w:pPr>
      <w:r>
        <w:rPr>
          <w:rFonts w:hint="default"/>
          <w:lang w:val="en-US" w:eastAsia="zh-CN"/>
        </w:rPr>
        <w:t>三是对使用智算资源开展行业人工智能大模型训练、应用和精调的优质信软企业，给予一定的资金支持。对向数据枢纽类企业购买数据资源、向社会开放数据资源的优质信软企业，给予资金支持。</w:t>
      </w:r>
    </w:p>
    <w:p w14:paraId="38ADED25">
      <w:pPr>
        <w:bidi w:val="0"/>
        <w:ind w:firstLine="560" w:firstLineChars="200"/>
        <w:rPr>
          <w:rFonts w:hint="default"/>
          <w:lang w:val="en-US" w:eastAsia="zh-CN"/>
        </w:rPr>
      </w:pPr>
      <w:r>
        <w:rPr>
          <w:rFonts w:hint="default"/>
          <w:lang w:val="en-US" w:eastAsia="zh-CN"/>
        </w:rPr>
        <w:t>四是对数据交易、数据资产登记、数据资产入表，给予资金支持。对数据资产融资所承担的业务风险进行补偿，给予资金支持。对取得数字资产抵押融资的企业，给予贴息支持。</w:t>
      </w:r>
    </w:p>
    <w:p w14:paraId="603C440C">
      <w:pPr>
        <w:bidi w:val="0"/>
        <w:ind w:firstLine="560" w:firstLineChars="200"/>
        <w:rPr>
          <w:rFonts w:hint="default"/>
          <w:lang w:val="en-US" w:eastAsia="zh-CN"/>
        </w:rPr>
      </w:pPr>
      <w:r>
        <w:rPr>
          <w:rFonts w:hint="default"/>
          <w:lang w:val="en-US" w:eastAsia="zh-CN"/>
        </w:rPr>
        <w:t>五是对首次列入重点跟踪范围的优质企业给予一次性资金支持。依照企业经济总量、增量等分档、分次予以资金支持。对首次列入重点跟踪范围、新扩建、租赁或购置生产及研发办公空间的企业，给予贴息和贴费等支持。对纳入我区重点跟踪范围的信软固定资产投资，给予资金支持。</w:t>
      </w:r>
    </w:p>
    <w:p w14:paraId="39E1B71F">
      <w:pPr>
        <w:bidi w:val="0"/>
        <w:ind w:firstLine="560" w:firstLineChars="200"/>
        <w:rPr>
          <w:rFonts w:hint="default"/>
          <w:lang w:val="en-US" w:eastAsia="zh-CN"/>
        </w:rPr>
      </w:pPr>
      <w:r>
        <w:rPr>
          <w:rFonts w:hint="default"/>
          <w:lang w:val="en-US" w:eastAsia="zh-CN"/>
        </w:rPr>
        <w:t>六是对区内成功培育年度经济总量达到一定标准的信软企业的产业服务平台给予引导鼓励。</w:t>
      </w:r>
    </w:p>
    <w:p w14:paraId="56BF579A">
      <w:pPr>
        <w:pStyle w:val="2"/>
        <w:bidi w:val="0"/>
        <w:rPr>
          <w:rFonts w:hint="default"/>
          <w:lang w:val="en-US" w:eastAsia="zh-CN"/>
        </w:rPr>
      </w:pPr>
      <w:r>
        <w:rPr>
          <w:rFonts w:hint="default"/>
          <w:lang w:val="en-US" w:eastAsia="zh-CN"/>
        </w:rPr>
        <w:t>四、《门头沟区促进信息传输、软件和信息技术服务业高质量发展若干措施》以何种方式进行支持？</w:t>
      </w:r>
    </w:p>
    <w:p w14:paraId="44F2F3CD">
      <w:pPr>
        <w:bidi w:val="0"/>
        <w:ind w:firstLine="560" w:firstLineChars="200"/>
        <w:rPr>
          <w:rFonts w:hint="default"/>
          <w:lang w:val="en-US" w:eastAsia="zh-CN"/>
        </w:rPr>
      </w:pPr>
      <w:r>
        <w:rPr>
          <w:rFonts w:hint="default"/>
          <w:lang w:val="en-US" w:eastAsia="zh-CN"/>
        </w:rPr>
        <w:t>本措施通过直接拨款奖励、银行贷款贴息以及优质高效服务等方式，支持信软企业健康有序成长，从而促进全区信软经济持续稳定发展。</w:t>
      </w:r>
    </w:p>
    <w:p w14:paraId="1F11768D">
      <w:pPr>
        <w:pStyle w:val="2"/>
        <w:bidi w:val="0"/>
        <w:rPr>
          <w:rFonts w:hint="default"/>
          <w:lang w:val="en-US" w:eastAsia="zh-CN"/>
        </w:rPr>
      </w:pPr>
      <w:r>
        <w:rPr>
          <w:rFonts w:hint="default"/>
          <w:lang w:val="en-US" w:eastAsia="zh-CN"/>
        </w:rPr>
        <w:t>五、关键词诠释</w:t>
      </w:r>
    </w:p>
    <w:p w14:paraId="2A5F0232">
      <w:pPr>
        <w:bidi w:val="0"/>
        <w:ind w:firstLine="560" w:firstLineChars="200"/>
        <w:rPr>
          <w:rFonts w:hint="default"/>
          <w:lang w:val="en-US" w:eastAsia="zh-CN"/>
        </w:rPr>
      </w:pPr>
      <w:r>
        <w:rPr>
          <w:rFonts w:hint="default"/>
          <w:lang w:val="en-US" w:eastAsia="zh-CN"/>
        </w:rPr>
        <w:t>信软企业：依据国民经济行业分类代码（GBT/T4754-2017），行业大类代码属于63-65的企业为信软企业。</w:t>
      </w:r>
    </w:p>
    <w:p w14:paraId="7F8C8FE2">
      <w:pPr>
        <w:bidi w:val="0"/>
        <w:ind w:firstLine="560" w:firstLineChars="200"/>
        <w:rPr>
          <w:rFonts w:hint="default"/>
          <w:lang w:val="en-US" w:eastAsia="zh-CN"/>
        </w:rPr>
      </w:pPr>
      <w:r>
        <w:rPr>
          <w:rFonts w:hint="default"/>
          <w:lang w:val="en-US" w:eastAsia="zh-CN"/>
        </w:rPr>
        <w:t>首台（套）：是指经过创新，其品种、规格、架构或技术参数等有重大突破，具有知识产权属于国内首次自主研发的成套设备、整机设备、核心部件、控制系统、新材料和软件系统等。北京市级首台（套）由北京市发展和改革委员会进行认定。国家级首台（套）由国家市场监督管理总局会同国家发展和改革委员会、科学技术部、工业和信息化部、国家知识产权局等五部门联合认定。</w:t>
      </w:r>
    </w:p>
    <w:p w14:paraId="34254798">
      <w:pPr>
        <w:bidi w:val="0"/>
        <w:ind w:firstLine="560" w:firstLineChars="200"/>
        <w:rPr>
          <w:rFonts w:hint="default"/>
          <w:lang w:val="en-US" w:eastAsia="zh-CN"/>
        </w:rPr>
      </w:pPr>
      <w:r>
        <w:rPr>
          <w:rFonts w:hint="default"/>
          <w:lang w:val="en-US" w:eastAsia="zh-CN"/>
        </w:rPr>
        <w:t>产业服务平台：包括但不限于国家、省级授牌的小型微型企业创业创新示范基地、中小企业公共服务示范平台、创业孵化示范基地、科技企业孵化器、北京市试点园（人工智能领域）。</w:t>
      </w:r>
    </w:p>
    <w:p w14:paraId="799AA582">
      <w:pPr>
        <w:bidi w:val="0"/>
        <w:ind w:firstLine="560" w:firstLineChars="200"/>
        <w:rPr>
          <w:rFonts w:hint="default"/>
          <w:lang w:val="en-US" w:eastAsia="zh-CN"/>
        </w:rPr>
      </w:pPr>
      <w:r>
        <w:rPr>
          <w:rFonts w:hint="default"/>
          <w:lang w:val="en-US" w:eastAsia="zh-CN"/>
        </w:rPr>
        <w:t>国家、省级授牌的小型微型企业创业创新示范基地：国家小型微型企业创业创新示范基地是经工业和信息化部公告的小型微型企业创业创新示范基地，是由法人单位建设或运营，聚集各类创业创新服务资源，为小微企业提供有效服务支撑的载体和场所。示范基地具有基础设施完备、运营管理规范、商业模式清晰、创新链完整、产业链协同、服务功能齐全、服务业绩突出、社会公信度高、示范带动作用强等特点。</w:t>
      </w:r>
    </w:p>
    <w:p w14:paraId="7CC2426C">
      <w:pPr>
        <w:bidi w:val="0"/>
        <w:ind w:firstLine="560" w:firstLineChars="200"/>
        <w:rPr>
          <w:rFonts w:hint="default"/>
          <w:lang w:val="en-US" w:eastAsia="zh-CN"/>
        </w:rPr>
      </w:pPr>
      <w:r>
        <w:rPr>
          <w:rFonts w:hint="default"/>
          <w:lang w:val="en-US" w:eastAsia="zh-CN"/>
        </w:rPr>
        <w:t>中小企业公共服务示范平台：是指由法人单位建设和运营，为中小企业提供信息、投融资、创业、技术创新、培训、管理咨询、市场开拓、法律等公共服务，业绩突出、公信度高、服务面广，具有示范带动作用的服务平台。北京市级和国家级中小企业公共服务示范平台分别由北京市经济和信息化局、工业和信息化部进行认定。</w:t>
      </w:r>
    </w:p>
    <w:p w14:paraId="1FBB8D7A">
      <w:pPr>
        <w:bidi w:val="0"/>
        <w:ind w:firstLine="560" w:firstLineChars="200"/>
        <w:rPr>
          <w:rFonts w:hint="default"/>
          <w:lang w:val="en-US" w:eastAsia="zh-CN"/>
        </w:rPr>
      </w:pPr>
      <w:r>
        <w:rPr>
          <w:rFonts w:hint="default"/>
          <w:lang w:val="en-US" w:eastAsia="zh-CN"/>
        </w:rPr>
        <w:t>创业孵化示范基地:北京市创业孵化示范基地是由北京市人力资源和社会保障局认定的创业孵化载体，旨在通过提供创业指导、资源对接等服务，帮助初创企业成长，推动就业创业工作。</w:t>
      </w:r>
    </w:p>
    <w:p w14:paraId="688A3F70">
      <w:pPr>
        <w:bidi w:val="0"/>
        <w:ind w:firstLine="560" w:firstLineChars="200"/>
        <w:rPr>
          <w:rFonts w:hint="default"/>
          <w:lang w:val="en-US" w:eastAsia="zh-CN"/>
        </w:rPr>
      </w:pPr>
      <w:r>
        <w:rPr>
          <w:rFonts w:hint="default"/>
          <w:lang w:val="en-US" w:eastAsia="zh-CN"/>
        </w:rPr>
        <w:t>科技企业孵化器:科技型企业孵化器是指以促进科技成果转化和产业化、孵化科技型企业、弘扬企业家精神为宗旨，为科技型初创企业和创业团队提供经营设施、创业辅导、技术支持、市场拓展、投资融资、管理咨询等专业服务的科技创业服务机构。北京科技企业孵化器由北京市科学技术委员会批准确定，国家级科技企业孵化器由工业和信息化部认定，分为‌标准级‌和‌卓越级‌两类。</w:t>
      </w:r>
    </w:p>
    <w:p w14:paraId="37D3421B">
      <w:pPr>
        <w:bidi w:val="0"/>
        <w:ind w:firstLine="560" w:firstLineChars="200"/>
        <w:rPr>
          <w:rFonts w:hint="default"/>
          <w:lang w:val="en-US" w:eastAsia="zh-CN"/>
        </w:rPr>
      </w:pPr>
      <w:r>
        <w:rPr>
          <w:rFonts w:hint="default"/>
          <w:lang w:val="en-US" w:eastAsia="zh-CN"/>
        </w:rPr>
        <w:t>北京市试点园（人工智能领域）:由北京市中共北京市委军民融合发展委员会办公室认定的北京市试点园（人工智能领域）。</w:t>
      </w:r>
    </w:p>
    <w:p w14:paraId="7664D434">
      <w:pPr>
        <w:bidi w:val="0"/>
        <w:ind w:firstLine="560" w:firstLineChars="200"/>
        <w:rPr>
          <w:rFonts w:hint="default"/>
          <w:lang w:val="en-US" w:eastAsia="zh-CN"/>
        </w:rPr>
      </w:pPr>
      <w:r>
        <w:rPr>
          <w:rFonts w:hint="default"/>
          <w:lang w:val="en-US" w:eastAsia="zh-CN"/>
        </w:rPr>
        <w:fldChar w:fldCharType="begin"/>
      </w:r>
      <w:r>
        <w:rPr>
          <w:rFonts w:hint="default"/>
          <w:lang w:val="en-US" w:eastAsia="zh-CN"/>
        </w:rPr>
        <w:instrText xml:space="preserve"> HYPERLINK "https://www.bjmtg.gov.cn/bjmtg/2024zcjd/202511/158f691594c54f10827b293b2c4cde52.shtml" </w:instrText>
      </w:r>
      <w:r>
        <w:rPr>
          <w:rFonts w:hint="default"/>
          <w:lang w:val="en-US" w:eastAsia="zh-CN"/>
        </w:rPr>
        <w:fldChar w:fldCharType="separate"/>
      </w:r>
      <w:r>
        <w:rPr>
          <w:rStyle w:val="22"/>
          <w:rFonts w:hint="default"/>
          <w:lang w:val="en-US" w:eastAsia="zh-CN"/>
        </w:rPr>
        <w:t>https://www.bjmtg.gov.cn/bjmtg/2024zcjd/202511/158f691594c54f10827b293b2c4cde52.shtml</w:t>
      </w:r>
      <w:r>
        <w:rPr>
          <w:rFonts w:hint="default"/>
          <w:lang w:val="en-US" w:eastAsia="zh-CN"/>
        </w:rPr>
        <w:fldChar w:fldCharType="end"/>
      </w:r>
    </w:p>
    <w:p w14:paraId="3F94EE5F">
      <w:pPr>
        <w:bidi w:val="0"/>
        <w:ind w:firstLine="560" w:firstLineChars="200"/>
        <w:rPr>
          <w:rFonts w:hint="default"/>
          <w:lang w:val="en-US" w:eastAsia="zh-CN"/>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205232B8"/>
    <w:rsid w:val="20E515DF"/>
    <w:rsid w:val="20EE4514"/>
    <w:rsid w:val="22A660F0"/>
    <w:rsid w:val="23350630"/>
    <w:rsid w:val="239C0C8D"/>
    <w:rsid w:val="2458023C"/>
    <w:rsid w:val="24891F4C"/>
    <w:rsid w:val="24FB777E"/>
    <w:rsid w:val="26BE469D"/>
    <w:rsid w:val="27B35B31"/>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4240F7"/>
    <w:rsid w:val="30CE2A00"/>
    <w:rsid w:val="30D427EB"/>
    <w:rsid w:val="31604062"/>
    <w:rsid w:val="31AC3498"/>
    <w:rsid w:val="31BA36E4"/>
    <w:rsid w:val="34163C6F"/>
    <w:rsid w:val="34FC0B26"/>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9601AD1"/>
    <w:rsid w:val="4B077B9F"/>
    <w:rsid w:val="4CF97814"/>
    <w:rsid w:val="4D797ECA"/>
    <w:rsid w:val="4E7271B8"/>
    <w:rsid w:val="4EB31BF9"/>
    <w:rsid w:val="4F216E80"/>
    <w:rsid w:val="4F6B7653"/>
    <w:rsid w:val="50434E3C"/>
    <w:rsid w:val="505020B9"/>
    <w:rsid w:val="50FA021C"/>
    <w:rsid w:val="514A0E57"/>
    <w:rsid w:val="515B6E68"/>
    <w:rsid w:val="52511EB8"/>
    <w:rsid w:val="528945A2"/>
    <w:rsid w:val="52F83063"/>
    <w:rsid w:val="53974E43"/>
    <w:rsid w:val="54581D88"/>
    <w:rsid w:val="547A21C6"/>
    <w:rsid w:val="56A05C5E"/>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DF82765"/>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1020CE1"/>
    <w:rsid w:val="71330882"/>
    <w:rsid w:val="733B7399"/>
    <w:rsid w:val="73F7433F"/>
    <w:rsid w:val="74185C2E"/>
    <w:rsid w:val="74FE333F"/>
    <w:rsid w:val="75100625"/>
    <w:rsid w:val="756F626F"/>
    <w:rsid w:val="75930F1E"/>
    <w:rsid w:val="75C2525F"/>
    <w:rsid w:val="775748F9"/>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2009</Words>
  <Characters>2035</Characters>
  <Lines>1</Lines>
  <Paragraphs>1</Paragraphs>
  <TotalTime>20</TotalTime>
  <ScaleCrop>false</ScaleCrop>
  <LinksUpToDate>false</LinksUpToDate>
  <CharactersWithSpaces>2058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2025-11-27T07:08:22Z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E222835251DC4CEABF364858330DEC14_13</vt:lpwstr>
  </property>
  <property fmtid="{D5CDD505-2E9C-101B-9397-08002B2CF9AE}" pid="4" name="KSOTemplateDocerSaveRecord">
    <vt:lpwstr>eyJoZGlkIjoiM2JiNDc5YjNlNzUwNGE3ZjRiZjg4NmI0YjQzZjM0NWQiLCJ1c2VySWQiOiIxNDU2NzYxMDUwIn0=</vt:lpwstr>
  </property>
</Properties>
</file>