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350DE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一图读懂《关于增强消费品供需适配性进一步促进消费的实施方案》</w:t>
      </w:r>
    </w:p>
    <w:bookmarkEnd w:id="0"/>
    <w:p w14:paraId="46E230A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发布时间：2025-11-26 14:32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来源：消费品工业司</w:t>
      </w:r>
    </w:p>
    <w:p w14:paraId="117263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48250" cy="804672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686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8629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658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401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6400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48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https://www.miit.gov.cn/zwgk/zcjd/art/2025/art_27c8fd41964644d8b1700cc0888a5872.html</w:t>
      </w:r>
    </w:p>
    <w:p w14:paraId="0BE7D8B7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22C18FA"/>
    <w:rsid w:val="22A660F0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30E0353"/>
    <w:rsid w:val="43357F41"/>
    <w:rsid w:val="433C38D6"/>
    <w:rsid w:val="43530137"/>
    <w:rsid w:val="441C68B9"/>
    <w:rsid w:val="446948F1"/>
    <w:rsid w:val="45637541"/>
    <w:rsid w:val="45B9632A"/>
    <w:rsid w:val="47407E1B"/>
    <w:rsid w:val="479917B8"/>
    <w:rsid w:val="480F418D"/>
    <w:rsid w:val="485C7A85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43CD3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2025-11-26T08:42:20Z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AE240E1CC3464956AC46E330F3207333_13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