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0EBCF">
      <w:pPr>
        <w:pStyle w:val="10"/>
        <w:bidi w:val="0"/>
        <w:rPr>
          <w:rFonts w:hint="default"/>
          <w:lang w:val="en-US" w:eastAsia="zh-CN"/>
        </w:rPr>
      </w:pPr>
      <w:bookmarkStart w:id="0" w:name="_GoBack"/>
      <w:r>
        <w:rPr>
          <w:rFonts w:hint="default"/>
          <w:lang w:val="en-US" w:eastAsia="zh-CN"/>
        </w:rPr>
        <w:t>关于《关于加快推进北京城市副中心产业高质量发展的若干措施》的政策解读</w:t>
      </w:r>
    </w:p>
    <w:bookmarkEnd w:id="0"/>
    <w:p w14:paraId="48A40418">
      <w:pPr>
        <w:pStyle w:val="8"/>
        <w:bidi w:val="0"/>
        <w:rPr>
          <w:rFonts w:hint="default"/>
          <w:lang w:val="en-US" w:eastAsia="zh-CN"/>
        </w:rPr>
      </w:pPr>
      <w:r>
        <w:rPr>
          <w:rFonts w:hint="default"/>
          <w:lang w:val="en-US" w:eastAsia="zh-CN"/>
        </w:rPr>
        <w:t>日期：2025-11-20 15:30</w:t>
      </w:r>
      <w:r>
        <w:rPr>
          <w:rFonts w:hint="eastAsia"/>
          <w:lang w:val="en-US" w:eastAsia="zh-CN"/>
        </w:rPr>
        <w:t xml:space="preserve">                                     </w:t>
      </w:r>
      <w:r>
        <w:rPr>
          <w:rFonts w:hint="default"/>
          <w:lang w:val="en-US" w:eastAsia="zh-CN"/>
        </w:rPr>
        <w:t>来源：区政府办</w:t>
      </w:r>
    </w:p>
    <w:p w14:paraId="5DE15315">
      <w:pPr>
        <w:ind w:firstLine="560" w:firstLineChars="200"/>
        <w:rPr>
          <w:rFonts w:hint="default"/>
          <w:lang w:val="en-US" w:eastAsia="zh-CN"/>
        </w:rPr>
      </w:pPr>
      <w:r>
        <w:rPr>
          <w:rFonts w:hint="default"/>
          <w:lang w:val="en-US" w:eastAsia="zh-CN"/>
        </w:rPr>
        <w:t>为了统筹优质资源，加大企业支持力度，实施促进产业发展“新计划”，聚焦产业集群化、创新化、生态化，提供空间、人才、金融保障等六个方面出台《关于加快推进北京城市副中心产业高质量发展若干措施》，加快培育新质生产力。</w:t>
      </w:r>
    </w:p>
    <w:p w14:paraId="55C1DD23">
      <w:pPr>
        <w:pStyle w:val="2"/>
        <w:bidi w:val="0"/>
        <w:rPr>
          <w:rFonts w:hint="default"/>
          <w:lang w:val="en-US" w:eastAsia="zh-CN"/>
        </w:rPr>
      </w:pPr>
      <w:r>
        <w:rPr>
          <w:rFonts w:hint="default"/>
          <w:lang w:val="en-US" w:eastAsia="zh-CN"/>
        </w:rPr>
        <w:t>一是加速产业集群化发展，着力强链固链。</w:t>
      </w:r>
    </w:p>
    <w:p w14:paraId="307D83A7">
      <w:pPr>
        <w:ind w:firstLine="560" w:firstLineChars="200"/>
        <w:rPr>
          <w:rFonts w:hint="default"/>
          <w:lang w:val="en-US" w:eastAsia="zh-CN"/>
        </w:rPr>
      </w:pPr>
      <w:r>
        <w:rPr>
          <w:rFonts w:hint="default"/>
          <w:lang w:val="en-US" w:eastAsia="zh-CN"/>
        </w:rPr>
        <w:t>坚持以链主企业为牵引，积极引导上下游配套优质企业集聚发展，鼓励产业链配套企业积极协助引进“链主”企业，推动企业招大引强、培优育强，形成“引进一个、带来一批、辐射一片”的磁场效应。</w:t>
      </w:r>
    </w:p>
    <w:p w14:paraId="20F4371B">
      <w:pPr>
        <w:pStyle w:val="2"/>
        <w:bidi w:val="0"/>
        <w:rPr>
          <w:rFonts w:hint="default"/>
          <w:lang w:val="en-US" w:eastAsia="zh-CN"/>
        </w:rPr>
      </w:pPr>
      <w:r>
        <w:rPr>
          <w:rFonts w:hint="default"/>
          <w:lang w:val="en-US" w:eastAsia="zh-CN"/>
        </w:rPr>
        <w:t>二是推动产业创新化发展，坚持科技引领。</w:t>
      </w:r>
    </w:p>
    <w:p w14:paraId="0D799F03">
      <w:pPr>
        <w:ind w:firstLine="560" w:firstLineChars="200"/>
        <w:rPr>
          <w:rFonts w:hint="default"/>
          <w:lang w:val="en-US" w:eastAsia="zh-CN"/>
        </w:rPr>
      </w:pPr>
      <w:r>
        <w:rPr>
          <w:rFonts w:hint="default"/>
          <w:lang w:val="en-US" w:eastAsia="zh-CN"/>
        </w:rPr>
        <w:t>强化企业科技创新主体地位，进一步优化创新资源配置，释放创新潜能，激发创新活力，帮助企业把腰杆子挺起来。</w:t>
      </w:r>
    </w:p>
    <w:p w14:paraId="1951D83F">
      <w:pPr>
        <w:ind w:firstLine="560" w:firstLineChars="200"/>
        <w:rPr>
          <w:rFonts w:hint="default"/>
          <w:lang w:val="en-US" w:eastAsia="zh-CN"/>
        </w:rPr>
      </w:pPr>
      <w:r>
        <w:rPr>
          <w:rFonts w:hint="default"/>
          <w:lang w:val="en-US" w:eastAsia="zh-CN"/>
        </w:rPr>
        <w:t>鼓励企业以研发促创新，按照研发投入情况，每年给予最高300万元支持，根据成果产出绩效，给予最高500万元支持。</w:t>
      </w:r>
    </w:p>
    <w:p w14:paraId="00FC5D90">
      <w:pPr>
        <w:ind w:firstLine="560" w:firstLineChars="200"/>
        <w:rPr>
          <w:rFonts w:hint="default"/>
          <w:lang w:val="en-US" w:eastAsia="zh-CN"/>
        </w:rPr>
      </w:pPr>
      <w:r>
        <w:rPr>
          <w:rFonts w:hint="default"/>
          <w:lang w:val="en-US" w:eastAsia="zh-CN"/>
        </w:rPr>
        <w:t>鼓励企业以数智促创新，对获得“灯塔工厂”称号、国家级“智能制造标杆企业”示范称号、北京市“智能工厂”和“数字化车间”示范称号的企业给予最高500万元支持。</w:t>
      </w:r>
    </w:p>
    <w:p w14:paraId="70A81DE3">
      <w:pPr>
        <w:ind w:firstLine="560" w:firstLineChars="200"/>
        <w:rPr>
          <w:rFonts w:hint="default"/>
          <w:lang w:val="en-US" w:eastAsia="zh-CN"/>
        </w:rPr>
      </w:pPr>
      <w:r>
        <w:rPr>
          <w:rFonts w:hint="default"/>
          <w:lang w:val="en-US" w:eastAsia="zh-CN"/>
        </w:rPr>
        <w:t>鼓励企业以平台促创新，支持企业联合高等学校、科研机构以及上下游企业，建设高水平创新平台，对首次获得国家级、市级认定的，给予最高500万元支持。</w:t>
      </w:r>
    </w:p>
    <w:p w14:paraId="40B4054F">
      <w:pPr>
        <w:ind w:firstLine="560" w:firstLineChars="200"/>
        <w:rPr>
          <w:rFonts w:hint="default"/>
          <w:lang w:val="en-US" w:eastAsia="zh-CN"/>
        </w:rPr>
      </w:pPr>
      <w:r>
        <w:rPr>
          <w:rFonts w:hint="default"/>
          <w:lang w:val="en-US" w:eastAsia="zh-CN"/>
        </w:rPr>
        <w:t>鼓励企业以育优促创新，对新增获得制造业单项冠军、隐形冠军、国家专精特新“小巨人”和北京市“专精特新”中小企业荣誉称号的企业，给予最高100万元支持。</w:t>
      </w:r>
    </w:p>
    <w:p w14:paraId="261518C2">
      <w:pPr>
        <w:ind w:firstLine="560" w:firstLineChars="200"/>
        <w:rPr>
          <w:rFonts w:hint="default"/>
          <w:lang w:val="en-US" w:eastAsia="zh-CN"/>
        </w:rPr>
      </w:pPr>
      <w:r>
        <w:rPr>
          <w:rFonts w:hint="default"/>
          <w:lang w:val="en-US" w:eastAsia="zh-CN"/>
        </w:rPr>
        <w:t>鼓励企业以绿色促创新，全面推进企业绿色化转型，对于创建绿色工厂或绿色供应链、开展绿色化改造提升、使用分布式光伏能源代替化石能源、开展碳中和认证或采用非交易行为减少二氧化碳排放的相关行业企业，给予最高200万元支持。</w:t>
      </w:r>
    </w:p>
    <w:p w14:paraId="1363C400">
      <w:pPr>
        <w:pStyle w:val="2"/>
        <w:bidi w:val="0"/>
        <w:rPr>
          <w:rFonts w:hint="default"/>
          <w:lang w:val="en-US" w:eastAsia="zh-CN"/>
        </w:rPr>
      </w:pPr>
      <w:r>
        <w:rPr>
          <w:rFonts w:hint="default"/>
          <w:lang w:val="en-US" w:eastAsia="zh-CN"/>
        </w:rPr>
        <w:t>三是优化环境加速产业生态化发展。</w:t>
      </w:r>
    </w:p>
    <w:p w14:paraId="24CD9E36">
      <w:pPr>
        <w:ind w:firstLine="560" w:firstLineChars="200"/>
        <w:rPr>
          <w:rFonts w:hint="default"/>
          <w:lang w:val="en-US" w:eastAsia="zh-CN"/>
        </w:rPr>
      </w:pPr>
      <w:r>
        <w:rPr>
          <w:rFonts w:hint="default"/>
          <w:lang w:val="en-US" w:eastAsia="zh-CN"/>
        </w:rPr>
        <w:t>聚焦重点，突破难点，设身处地为企业出实招、解难题，持续打造综合成本最低、审批效率最高、行政服务最好的营商环境，进一步激发市场活力。</w:t>
      </w:r>
    </w:p>
    <w:p w14:paraId="08E5709E">
      <w:pPr>
        <w:ind w:firstLine="560" w:firstLineChars="200"/>
        <w:rPr>
          <w:rFonts w:hint="default"/>
          <w:lang w:val="en-US" w:eastAsia="zh-CN"/>
        </w:rPr>
      </w:pPr>
      <w:r>
        <w:rPr>
          <w:rFonts w:hint="default"/>
          <w:lang w:val="en-US" w:eastAsia="zh-CN"/>
        </w:rPr>
        <w:t>在政务服务方面，开设企业专属空间，打造“智慧通办”品牌，夯实线上线下帮办体系，实现政策直享、服务直达、诉求直通。</w:t>
      </w:r>
    </w:p>
    <w:p w14:paraId="15A0B79F">
      <w:pPr>
        <w:ind w:firstLine="560" w:firstLineChars="200"/>
        <w:rPr>
          <w:rFonts w:hint="default"/>
          <w:lang w:val="en-US" w:eastAsia="zh-CN"/>
        </w:rPr>
      </w:pPr>
      <w:r>
        <w:rPr>
          <w:rFonts w:hint="default"/>
          <w:lang w:val="en-US" w:eastAsia="zh-CN"/>
        </w:rPr>
        <w:t>在企业服务方面，强化区领导联系重点产业和重大项目机制，完善企业工商税务双落地全程服务体系和重点企业服务包机制。</w:t>
      </w:r>
    </w:p>
    <w:p w14:paraId="3AF76D94">
      <w:pPr>
        <w:ind w:firstLine="560" w:firstLineChars="200"/>
        <w:rPr>
          <w:rFonts w:hint="default"/>
          <w:lang w:val="en-US" w:eastAsia="zh-CN"/>
        </w:rPr>
      </w:pPr>
      <w:r>
        <w:rPr>
          <w:rFonts w:hint="default"/>
          <w:lang w:val="en-US" w:eastAsia="zh-CN"/>
        </w:rPr>
        <w:t>在园区服务方面，建立“我帮企业拓市场”服务机制，搭建沟通交流平台，积极帮助企业找订单、扶企富企。</w:t>
      </w:r>
    </w:p>
    <w:p w14:paraId="07A24152">
      <w:pPr>
        <w:ind w:firstLine="560" w:firstLineChars="200"/>
        <w:rPr>
          <w:rFonts w:hint="default"/>
          <w:lang w:val="en-US" w:eastAsia="zh-CN"/>
        </w:rPr>
      </w:pPr>
      <w:r>
        <w:rPr>
          <w:rFonts w:hint="default"/>
          <w:lang w:val="en-US" w:eastAsia="zh-CN"/>
        </w:rPr>
        <w:t>同时将释放多元的应用场景，以场景育动能。开放全域应用场景，为企业适配场景，鼓励企业将新技术、新产品在城市副中心落地验证或示范应用，对于经认定的重点场景项目给予最高300万元支持。</w:t>
      </w:r>
    </w:p>
    <w:p w14:paraId="16C3E989">
      <w:pPr>
        <w:pStyle w:val="2"/>
        <w:bidi w:val="0"/>
        <w:rPr>
          <w:rFonts w:hint="default"/>
          <w:lang w:val="en-US" w:eastAsia="zh-CN"/>
        </w:rPr>
      </w:pPr>
      <w:r>
        <w:rPr>
          <w:rFonts w:hint="default"/>
          <w:lang w:val="en-US" w:eastAsia="zh-CN"/>
        </w:rPr>
        <w:t>四是夯实产业空间保障，保持创新供给。</w:t>
      </w:r>
    </w:p>
    <w:p w14:paraId="0D5BC237">
      <w:pPr>
        <w:ind w:firstLine="560" w:firstLineChars="200"/>
        <w:rPr>
          <w:rFonts w:hint="default"/>
          <w:lang w:val="en-US" w:eastAsia="zh-CN"/>
        </w:rPr>
      </w:pPr>
      <w:r>
        <w:rPr>
          <w:rFonts w:hint="default"/>
          <w:lang w:val="en-US" w:eastAsia="zh-CN"/>
        </w:rPr>
        <w:t>坚持“应保尽保”满足产业项目用地需求，确保大空间承载大项目，大项目驱动大发展、抢占大机遇，让好企业、好项目在副中心一定“有地可落”。</w:t>
      </w:r>
    </w:p>
    <w:p w14:paraId="48C0B5FE">
      <w:pPr>
        <w:ind w:firstLine="560" w:firstLineChars="200"/>
        <w:rPr>
          <w:rFonts w:hint="default"/>
          <w:lang w:val="en-US" w:eastAsia="zh-CN"/>
        </w:rPr>
      </w:pPr>
      <w:r>
        <w:rPr>
          <w:rFonts w:hint="default"/>
          <w:lang w:val="en-US" w:eastAsia="zh-CN"/>
        </w:rPr>
        <w:t>每年释放不少于50万平方米的功能复合新型产业空间。企业可以通过弹性出让、长期租赁、先租后让、租让结合等方式获得产业空间。依托集体土地入市及统筹利用、楼宇分割销售等政策，多种模式为产业项目落地提供保障。</w:t>
      </w:r>
    </w:p>
    <w:p w14:paraId="50F803AF">
      <w:pPr>
        <w:ind w:firstLine="560" w:firstLineChars="200"/>
        <w:rPr>
          <w:rFonts w:hint="default"/>
          <w:lang w:val="en-US" w:eastAsia="zh-CN"/>
        </w:rPr>
      </w:pPr>
      <w:r>
        <w:rPr>
          <w:rFonts w:hint="default"/>
          <w:lang w:val="en-US" w:eastAsia="zh-CN"/>
        </w:rPr>
        <w:t>对增量用地给予“定制化服务”，在规模指标、用地复合、使用年限等方面给予政策支持。对存量用地鼓励企业对老旧厂房开展产业提升改造，打造特色园区。</w:t>
      </w:r>
    </w:p>
    <w:p w14:paraId="2E04D000">
      <w:pPr>
        <w:ind w:firstLine="560" w:firstLineChars="200"/>
        <w:rPr>
          <w:rFonts w:hint="default"/>
          <w:lang w:val="en-US" w:eastAsia="zh-CN"/>
        </w:rPr>
      </w:pPr>
      <w:r>
        <w:rPr>
          <w:rFonts w:hint="default"/>
          <w:lang w:val="en-US" w:eastAsia="zh-CN"/>
        </w:rPr>
        <w:t>构建高效落地机制，实现项目即时并联审批，确保“成交即交地”、“交地即交证”、“拿地即开工”。</w:t>
      </w:r>
    </w:p>
    <w:p w14:paraId="78931DFD">
      <w:pPr>
        <w:pStyle w:val="2"/>
        <w:bidi w:val="0"/>
        <w:rPr>
          <w:rFonts w:hint="default"/>
          <w:lang w:val="en-US" w:eastAsia="zh-CN"/>
        </w:rPr>
      </w:pPr>
      <w:r>
        <w:rPr>
          <w:rFonts w:hint="default"/>
          <w:lang w:val="en-US" w:eastAsia="zh-CN"/>
        </w:rPr>
        <w:t>五是强化产业人才保障，坚持靶向施策。</w:t>
      </w:r>
    </w:p>
    <w:p w14:paraId="72CA98C4">
      <w:pPr>
        <w:ind w:firstLine="560" w:firstLineChars="200"/>
        <w:rPr>
          <w:rFonts w:hint="default"/>
          <w:lang w:val="en-US" w:eastAsia="zh-CN"/>
        </w:rPr>
      </w:pPr>
      <w:r>
        <w:rPr>
          <w:rFonts w:hint="default"/>
          <w:lang w:val="en-US" w:eastAsia="zh-CN"/>
        </w:rPr>
        <w:t>把引贤纳才之门打得更开，把人才发展土壤培植得更厚，为各类人才创新创造提供广阔天地、解决后顾之忧，助力企业、新型研发机构等用人主体留住核心人才。</w:t>
      </w:r>
    </w:p>
    <w:p w14:paraId="42EB8D42">
      <w:pPr>
        <w:ind w:firstLine="560" w:firstLineChars="200"/>
        <w:rPr>
          <w:rFonts w:hint="default"/>
          <w:lang w:val="en-US" w:eastAsia="zh-CN"/>
        </w:rPr>
      </w:pPr>
      <w:r>
        <w:rPr>
          <w:rFonts w:hint="default"/>
          <w:lang w:val="en-US" w:eastAsia="zh-CN"/>
        </w:rPr>
        <w:t>六是夯实产业资金保障，实现金融赋能。</w:t>
      </w:r>
    </w:p>
    <w:p w14:paraId="498F8B06">
      <w:pPr>
        <w:ind w:firstLine="560" w:firstLineChars="200"/>
        <w:rPr>
          <w:rFonts w:hint="default"/>
          <w:lang w:val="en-US" w:eastAsia="zh-CN"/>
        </w:rPr>
      </w:pPr>
      <w:r>
        <w:rPr>
          <w:rFonts w:hint="default"/>
          <w:lang w:val="en-US" w:eastAsia="zh-CN"/>
        </w:rPr>
        <w:t>扎实做好资金要素供给，以金融链连接产业链，推动资金精准保障，全力支持招商项目落地建设、助力企业稳健经营发展。、</w:t>
      </w:r>
    </w:p>
    <w:p w14:paraId="66E9CDF0">
      <w:pPr>
        <w:ind w:firstLine="560" w:firstLineChars="200"/>
        <w:rPr>
          <w:rFonts w:hint="default"/>
          <w:lang w:val="en-US" w:eastAsia="zh-CN"/>
        </w:rPr>
      </w:pPr>
      <w:r>
        <w:rPr>
          <w:rFonts w:hint="default"/>
          <w:lang w:val="en-US" w:eastAsia="zh-CN"/>
        </w:rPr>
        <w:t>一方面用足用好副中心50亿元产业引导基金，直接作用于企业发展，激活产业发展新动能。</w:t>
      </w:r>
    </w:p>
    <w:p w14:paraId="0BE7D8B7">
      <w:pPr>
        <w:ind w:firstLine="560" w:firstLineChars="200"/>
        <w:rPr>
          <w:rFonts w:hint="default"/>
          <w:lang w:val="en-US" w:eastAsia="zh-CN"/>
        </w:rPr>
      </w:pPr>
      <w:r>
        <w:rPr>
          <w:rFonts w:hint="default"/>
          <w:lang w:val="en-US" w:eastAsia="zh-CN"/>
        </w:rPr>
        <w:t>另一方面，以金融活水激发市场主体活力，助力企业降低融资成本。对符合条件的中小微企业首次贷款业务给予1.5%的利息补贴和0.5%的担保贴费。</w:t>
      </w:r>
    </w:p>
    <w:p w14:paraId="63C1A90D">
      <w:pPr>
        <w:ind w:firstLine="560" w:firstLineChars="200"/>
        <w:rPr>
          <w:rFonts w:hint="default"/>
          <w:lang w:val="en-US" w:eastAsia="zh-CN"/>
        </w:rPr>
      </w:pPr>
      <w:r>
        <w:rPr>
          <w:rFonts w:hint="default"/>
          <w:lang w:val="en-US" w:eastAsia="zh-CN"/>
        </w:rPr>
        <w:t>https://www.bjtzh.gov.cn/bjtz/jdhy/202511/1772696.shtml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30E0353"/>
    <w:rsid w:val="43357F41"/>
    <w:rsid w:val="433C38D6"/>
    <w:rsid w:val="43530137"/>
    <w:rsid w:val="441C68B9"/>
    <w:rsid w:val="446948F1"/>
    <w:rsid w:val="45637541"/>
    <w:rsid w:val="45B9632A"/>
    <w:rsid w:val="47407E1B"/>
    <w:rsid w:val="479917B8"/>
    <w:rsid w:val="480F418D"/>
    <w:rsid w:val="485C7A85"/>
    <w:rsid w:val="486F5D2C"/>
    <w:rsid w:val="4B077B9F"/>
    <w:rsid w:val="4CA87F48"/>
    <w:rsid w:val="4CF97814"/>
    <w:rsid w:val="4D797ECA"/>
    <w:rsid w:val="4E7271B8"/>
    <w:rsid w:val="4EB31BF9"/>
    <w:rsid w:val="4EBB2F7D"/>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2025-11-20T09:58:45Z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A801CDD774C243009BC3005A0A0B330A_13</vt:lpwstr>
  </property>
  <property fmtid="{D5CDD505-2E9C-101B-9397-08002B2CF9AE}" pid="4" name="KSOTemplateDocerSaveRecord">
    <vt:lpwstr>eyJoZGlkIjoiMjIxMjI5YjhlNTAxYzUyOTYyYWZlMGFjYmE4ZTczY2EiLCJ1c2VySWQiOiIxNDU2NzYxMDUwIn0=</vt:lpwstr>
  </property>
</Properties>
</file>