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A41D8" w14:textId="5315E3D5" w:rsidR="000B4773" w:rsidRPr="000C0393" w:rsidRDefault="000C0393" w:rsidP="00C42324">
      <w:pPr>
        <w:spacing w:line="560" w:lineRule="exact"/>
        <w:contextualSpacing/>
        <w:jc w:val="center"/>
        <w:rPr>
          <w:rFonts w:ascii="方正小标宋简体" w:eastAsia="方正小标宋简体" w:hAnsi="方正小标宋_GBK" w:cs="方正小标宋_GBK" w:hint="eastAsia"/>
          <w:b/>
          <w:bCs/>
          <w:sz w:val="44"/>
          <w:szCs w:val="44"/>
        </w:rPr>
      </w:pPr>
      <w:r w:rsidRPr="000C0393">
        <w:rPr>
          <w:rFonts w:ascii="方正小标宋简体" w:eastAsia="方正小标宋简体" w:hAnsi="方正小标宋_GBK" w:cs="方正小标宋_GBK" w:hint="eastAsia"/>
          <w:sz w:val="44"/>
          <w:szCs w:val="44"/>
          <w:shd w:val="clear" w:color="auto" w:fill="FFFFFF"/>
        </w:rPr>
        <w:t>《</w:t>
      </w:r>
      <w:r w:rsidR="00EE3E8A" w:rsidRPr="00EE3E8A">
        <w:rPr>
          <w:rFonts w:ascii="方正小标宋简体" w:eastAsia="方正小标宋简体" w:hAnsi="方正小标宋_GBK" w:cs="方正小标宋_GBK" w:hint="eastAsia"/>
          <w:sz w:val="44"/>
          <w:szCs w:val="44"/>
          <w:shd w:val="clear" w:color="auto" w:fill="FFFFFF"/>
        </w:rPr>
        <w:t>2025年度中关村科学城支持创新应用场景专项申报指南（征求意见稿）</w:t>
      </w:r>
      <w:r>
        <w:rPr>
          <w:rFonts w:ascii="方正小标宋简体" w:eastAsia="方正小标宋简体" w:hAnsi="等线" w:cs="Times New Roman" w:hint="eastAsia"/>
          <w:sz w:val="44"/>
          <w:szCs w:val="44"/>
        </w:rPr>
        <w:t>》</w:t>
      </w:r>
      <w:r w:rsidR="00EE3E8A">
        <w:rPr>
          <w:rFonts w:ascii="方正小标宋简体" w:eastAsia="方正小标宋简体" w:hAnsi="等线" w:cs="Times New Roman" w:hint="eastAsia"/>
          <w:sz w:val="44"/>
          <w:szCs w:val="44"/>
        </w:rPr>
        <w:t>起草</w:t>
      </w:r>
      <w:r w:rsidR="00550D9C">
        <w:rPr>
          <w:rFonts w:ascii="方正小标宋简体" w:eastAsia="方正小标宋简体" w:hAnsi="等线" w:cs="Times New Roman" w:hint="eastAsia"/>
          <w:sz w:val="44"/>
          <w:szCs w:val="44"/>
        </w:rPr>
        <w:t>说明</w:t>
      </w:r>
    </w:p>
    <w:p w14:paraId="1235FE0B" w14:textId="77777777" w:rsidR="000B4773" w:rsidRDefault="000B4773" w:rsidP="00C42324">
      <w:pPr>
        <w:pStyle w:val="a3"/>
        <w:widowControl/>
        <w:spacing w:beforeAutospacing="0" w:afterAutospacing="0" w:line="560" w:lineRule="exact"/>
        <w:rPr>
          <w:rFonts w:ascii="Helvetica" w:eastAsia="Helvetica" w:hAnsi="Helvetica" w:cs="Helvetica"/>
          <w:color w:val="404040"/>
          <w:sz w:val="19"/>
          <w:szCs w:val="19"/>
          <w:shd w:val="clear" w:color="auto" w:fill="FFFFFF"/>
        </w:rPr>
      </w:pPr>
    </w:p>
    <w:p w14:paraId="6427F002" w14:textId="62D40A81" w:rsidR="00550D9C" w:rsidRPr="00550D9C" w:rsidRDefault="00550D9C" w:rsidP="00C42324">
      <w:pPr>
        <w:pStyle w:val="a3"/>
        <w:widowControl/>
        <w:spacing w:beforeAutospacing="0" w:afterAutospacing="0" w:line="560" w:lineRule="exact"/>
        <w:ind w:firstLineChars="200" w:firstLine="640"/>
        <w:jc w:val="both"/>
        <w:rPr>
          <w:rFonts w:ascii="黑体" w:eastAsia="黑体" w:hAnsi="黑体" w:cs="宋体" w:hint="eastAsia"/>
          <w:kern w:val="2"/>
          <w:sz w:val="32"/>
          <w:szCs w:val="32"/>
        </w:rPr>
      </w:pPr>
      <w:r w:rsidRPr="00550D9C">
        <w:rPr>
          <w:rFonts w:ascii="黑体" w:eastAsia="黑体" w:hAnsi="黑体" w:cs="宋体" w:hint="eastAsia"/>
          <w:kern w:val="2"/>
          <w:sz w:val="32"/>
          <w:szCs w:val="32"/>
        </w:rPr>
        <w:t>一、编制背景</w:t>
      </w:r>
    </w:p>
    <w:p w14:paraId="2060D810" w14:textId="60A7CDC9" w:rsidR="00EE3E8A" w:rsidRDefault="00EE3E8A" w:rsidP="00C42324">
      <w:pPr>
        <w:pStyle w:val="a3"/>
        <w:widowControl/>
        <w:spacing w:beforeAutospacing="0" w:afterAutospacing="0" w:line="560" w:lineRule="exact"/>
        <w:ind w:firstLineChars="200" w:firstLine="640"/>
        <w:jc w:val="both"/>
        <w:rPr>
          <w:rFonts w:ascii="仿宋_GB2312" w:eastAsia="仿宋_GB2312" w:hAnsi="宋体" w:cs="宋体"/>
          <w:kern w:val="2"/>
          <w:sz w:val="32"/>
          <w:szCs w:val="32"/>
        </w:rPr>
      </w:pPr>
      <w:r w:rsidRPr="00EE3E8A">
        <w:rPr>
          <w:rFonts w:ascii="仿宋_GB2312" w:eastAsia="仿宋_GB2312" w:hAnsi="宋体" w:cs="宋体" w:hint="eastAsia"/>
          <w:kern w:val="2"/>
          <w:sz w:val="32"/>
          <w:szCs w:val="32"/>
        </w:rPr>
        <w:t>为积极响应《国务院办公厅关于加快场景培育和开放 推动新场景大规模应用的实施意见》（国办发〔2025〕37号），进一步强化场景创新在支持基础创新落地、培育未来产业、提升经济社会效能等方面的重要作用</w:t>
      </w:r>
      <w:r>
        <w:rPr>
          <w:rFonts w:ascii="仿宋_GB2312" w:eastAsia="仿宋_GB2312" w:hAnsi="宋体" w:cs="宋体" w:hint="eastAsia"/>
          <w:kern w:val="2"/>
          <w:sz w:val="32"/>
          <w:szCs w:val="32"/>
        </w:rPr>
        <w:t>，特制定</w:t>
      </w:r>
      <w:r w:rsidRPr="00EE3E8A">
        <w:rPr>
          <w:rFonts w:ascii="仿宋_GB2312" w:eastAsia="仿宋_GB2312" w:hAnsi="宋体" w:cs="宋体" w:hint="eastAsia"/>
          <w:kern w:val="2"/>
          <w:sz w:val="32"/>
          <w:szCs w:val="32"/>
        </w:rPr>
        <w:t>《2025年度中关村科学城支持创新应用场景专项申报指南（征求意见稿）》</w:t>
      </w:r>
      <w:r>
        <w:rPr>
          <w:rFonts w:ascii="仿宋_GB2312" w:eastAsia="仿宋_GB2312" w:hAnsi="宋体" w:cs="宋体" w:hint="eastAsia"/>
          <w:kern w:val="2"/>
          <w:sz w:val="32"/>
          <w:szCs w:val="32"/>
        </w:rPr>
        <w:t>，</w:t>
      </w:r>
      <w:r w:rsidRPr="00EE3E8A">
        <w:rPr>
          <w:rFonts w:ascii="仿宋_GB2312" w:eastAsia="仿宋_GB2312" w:hAnsi="宋体" w:cs="宋体" w:hint="eastAsia"/>
          <w:kern w:val="2"/>
          <w:sz w:val="32"/>
          <w:szCs w:val="32"/>
        </w:rPr>
        <w:t>围绕</w:t>
      </w:r>
      <w:r>
        <w:rPr>
          <w:rFonts w:ascii="仿宋_GB2312" w:eastAsia="仿宋_GB2312" w:hAnsi="宋体" w:cs="宋体" w:hint="eastAsia"/>
          <w:kern w:val="2"/>
          <w:sz w:val="32"/>
          <w:szCs w:val="32"/>
        </w:rPr>
        <w:t>海淀区</w:t>
      </w:r>
      <w:r w:rsidRPr="00EE3E8A">
        <w:rPr>
          <w:rFonts w:ascii="仿宋_GB2312" w:eastAsia="仿宋_GB2312" w:hAnsi="宋体" w:cs="宋体" w:hint="eastAsia"/>
          <w:kern w:val="2"/>
          <w:sz w:val="32"/>
          <w:szCs w:val="32"/>
        </w:rPr>
        <w:t>经济社会发展重大需求，促进各领域开放建设科技新场景，支持有利于关键核心技术、重大前沿技术等应用示范和验证迭代的重点应用场景项目建设</w:t>
      </w:r>
      <w:r>
        <w:rPr>
          <w:rFonts w:ascii="仿宋_GB2312" w:eastAsia="仿宋_GB2312" w:hAnsi="宋体" w:cs="宋体" w:hint="eastAsia"/>
          <w:kern w:val="2"/>
          <w:sz w:val="32"/>
          <w:szCs w:val="32"/>
        </w:rPr>
        <w:t>。</w:t>
      </w:r>
    </w:p>
    <w:p w14:paraId="02CFF4E6" w14:textId="5766DE09" w:rsidR="00550D9C" w:rsidRDefault="00550D9C" w:rsidP="00C42324">
      <w:pPr>
        <w:pStyle w:val="a3"/>
        <w:widowControl/>
        <w:spacing w:beforeAutospacing="0" w:afterAutospacing="0" w:line="560" w:lineRule="exact"/>
        <w:ind w:firstLineChars="200" w:firstLine="640"/>
        <w:jc w:val="both"/>
        <w:rPr>
          <w:rFonts w:ascii="黑体" w:eastAsia="黑体" w:hAnsi="黑体" w:cs="宋体" w:hint="eastAsia"/>
          <w:kern w:val="2"/>
          <w:sz w:val="32"/>
          <w:szCs w:val="32"/>
        </w:rPr>
      </w:pPr>
      <w:r w:rsidRPr="00550D9C">
        <w:rPr>
          <w:rFonts w:ascii="黑体" w:eastAsia="黑体" w:hAnsi="黑体" w:cs="宋体" w:hint="eastAsia"/>
          <w:kern w:val="2"/>
          <w:sz w:val="32"/>
          <w:szCs w:val="32"/>
        </w:rPr>
        <w:t>二、编写原则</w:t>
      </w:r>
    </w:p>
    <w:p w14:paraId="4D310740" w14:textId="73F9692E" w:rsidR="00550D9C" w:rsidRPr="00550D9C" w:rsidRDefault="00550D9C" w:rsidP="00C42324">
      <w:pPr>
        <w:pStyle w:val="a3"/>
        <w:widowControl/>
        <w:spacing w:beforeAutospacing="0" w:afterAutospacing="0" w:line="560" w:lineRule="exact"/>
        <w:ind w:firstLineChars="200" w:firstLine="640"/>
        <w:jc w:val="both"/>
        <w:rPr>
          <w:rFonts w:ascii="仿宋_GB2312" w:eastAsia="仿宋_GB2312" w:hAnsi="黑体" w:cs="宋体" w:hint="eastAsia"/>
          <w:kern w:val="2"/>
          <w:sz w:val="32"/>
          <w:szCs w:val="32"/>
        </w:rPr>
      </w:pPr>
      <w:r w:rsidRPr="00550D9C">
        <w:rPr>
          <w:rFonts w:ascii="仿宋_GB2312" w:eastAsia="仿宋_GB2312" w:hAnsi="黑体" w:cs="宋体" w:hint="eastAsia"/>
          <w:kern w:val="2"/>
          <w:sz w:val="32"/>
          <w:szCs w:val="32"/>
        </w:rPr>
        <w:t>参考</w:t>
      </w:r>
      <w:r w:rsidR="00EE3E8A" w:rsidRPr="00EE3E8A">
        <w:rPr>
          <w:rFonts w:ascii="仿宋_GB2312" w:eastAsia="仿宋_GB2312" w:hAnsi="黑体" w:cs="宋体" w:hint="eastAsia"/>
          <w:kern w:val="2"/>
          <w:sz w:val="32"/>
          <w:szCs w:val="32"/>
        </w:rPr>
        <w:t>《国务院办公厅关于加快场景培育和开放 推动新场景大规模应用的实施意见》（国办发〔2025〕37号）</w:t>
      </w:r>
      <w:r w:rsidRPr="00550D9C">
        <w:rPr>
          <w:rFonts w:ascii="仿宋_GB2312" w:eastAsia="仿宋_GB2312" w:hAnsi="黑体" w:cs="宋体" w:hint="eastAsia"/>
          <w:kern w:val="2"/>
          <w:sz w:val="32"/>
          <w:szCs w:val="32"/>
        </w:rPr>
        <w:t>、《北京市科技计划项目（课题）管理办法》（</w:t>
      </w:r>
      <w:proofErr w:type="gramStart"/>
      <w:r w:rsidRPr="00550D9C">
        <w:rPr>
          <w:rFonts w:ascii="仿宋_GB2312" w:eastAsia="仿宋_GB2312" w:hAnsi="黑体" w:cs="宋体" w:hint="eastAsia"/>
          <w:kern w:val="2"/>
          <w:sz w:val="32"/>
          <w:szCs w:val="32"/>
        </w:rPr>
        <w:t>京科资发</w:t>
      </w:r>
      <w:proofErr w:type="gramEnd"/>
      <w:r w:rsidRPr="00550D9C">
        <w:rPr>
          <w:rFonts w:ascii="仿宋_GB2312" w:eastAsia="仿宋_GB2312" w:hAnsi="黑体" w:cs="宋体" w:hint="eastAsia"/>
          <w:kern w:val="2"/>
          <w:sz w:val="32"/>
          <w:szCs w:val="32"/>
        </w:rPr>
        <w:t>〔2023〕43号）、</w:t>
      </w:r>
      <w:r w:rsidR="00EE3E8A" w:rsidRPr="00EE3E8A">
        <w:rPr>
          <w:rFonts w:ascii="仿宋_GB2312" w:eastAsia="仿宋_GB2312" w:hAnsi="黑体" w:cs="宋体" w:hint="eastAsia"/>
          <w:kern w:val="2"/>
          <w:sz w:val="32"/>
          <w:szCs w:val="32"/>
        </w:rPr>
        <w:t>《中关村国家自主创新示范区提升企业创新能力支持资金管理办法》（</w:t>
      </w:r>
      <w:proofErr w:type="gramStart"/>
      <w:r w:rsidR="00EE3E8A" w:rsidRPr="00EE3E8A">
        <w:rPr>
          <w:rFonts w:ascii="仿宋_GB2312" w:eastAsia="仿宋_GB2312" w:hAnsi="黑体" w:cs="宋体" w:hint="eastAsia"/>
          <w:kern w:val="2"/>
          <w:sz w:val="32"/>
          <w:szCs w:val="32"/>
        </w:rPr>
        <w:t>京科发</w:t>
      </w:r>
      <w:proofErr w:type="gramEnd"/>
      <w:r w:rsidR="00EE3E8A" w:rsidRPr="00EE3E8A">
        <w:rPr>
          <w:rFonts w:ascii="仿宋_GB2312" w:eastAsia="仿宋_GB2312" w:hAnsi="黑体" w:cs="宋体" w:hint="eastAsia"/>
          <w:kern w:val="2"/>
          <w:sz w:val="32"/>
          <w:szCs w:val="32"/>
        </w:rPr>
        <w:t>〔2024〕13 号）</w:t>
      </w:r>
      <w:r w:rsidRPr="00550D9C">
        <w:rPr>
          <w:rFonts w:ascii="仿宋_GB2312" w:eastAsia="仿宋_GB2312" w:hAnsi="黑体" w:cs="宋体" w:hint="eastAsia"/>
          <w:kern w:val="2"/>
          <w:sz w:val="32"/>
          <w:szCs w:val="32"/>
        </w:rPr>
        <w:t>等</w:t>
      </w:r>
      <w:r>
        <w:rPr>
          <w:rFonts w:ascii="仿宋_GB2312" w:eastAsia="仿宋_GB2312" w:hAnsi="黑体" w:cs="宋体" w:hint="eastAsia"/>
          <w:kern w:val="2"/>
          <w:sz w:val="32"/>
          <w:szCs w:val="32"/>
        </w:rPr>
        <w:t>上位</w:t>
      </w:r>
      <w:r w:rsidRPr="00550D9C">
        <w:rPr>
          <w:rFonts w:ascii="仿宋_GB2312" w:eastAsia="仿宋_GB2312" w:hAnsi="黑体" w:cs="宋体" w:hint="eastAsia"/>
          <w:kern w:val="2"/>
          <w:sz w:val="32"/>
          <w:szCs w:val="32"/>
        </w:rPr>
        <w:t>文件，</w:t>
      </w:r>
      <w:r>
        <w:rPr>
          <w:rFonts w:ascii="仿宋_GB2312" w:eastAsia="仿宋_GB2312" w:hAnsi="黑体" w:cs="宋体" w:hint="eastAsia"/>
          <w:kern w:val="2"/>
          <w:sz w:val="32"/>
          <w:szCs w:val="32"/>
        </w:rPr>
        <w:t>结合我区工作实际，编制</w:t>
      </w:r>
      <w:r w:rsidR="00EE3E8A" w:rsidRPr="00EE3E8A">
        <w:rPr>
          <w:rFonts w:ascii="仿宋_GB2312" w:eastAsia="仿宋_GB2312" w:hAnsi="黑体" w:cs="宋体" w:hint="eastAsia"/>
          <w:kern w:val="2"/>
          <w:sz w:val="32"/>
          <w:szCs w:val="32"/>
        </w:rPr>
        <w:t>2025年度中关村科学城支持创新应用场景专项申报指南</w:t>
      </w:r>
      <w:r w:rsidR="00423E36">
        <w:rPr>
          <w:rFonts w:ascii="仿宋_GB2312" w:eastAsia="仿宋_GB2312" w:hAnsi="黑体" w:cs="宋体" w:hint="eastAsia"/>
          <w:kern w:val="2"/>
          <w:sz w:val="32"/>
          <w:szCs w:val="32"/>
        </w:rPr>
        <w:t>。</w:t>
      </w:r>
    </w:p>
    <w:p w14:paraId="3089B987" w14:textId="4A16671D" w:rsidR="00550D9C" w:rsidRPr="00550D9C" w:rsidRDefault="00550D9C" w:rsidP="00C42324">
      <w:pPr>
        <w:pStyle w:val="a3"/>
        <w:widowControl/>
        <w:spacing w:beforeAutospacing="0" w:afterAutospacing="0" w:line="560" w:lineRule="exact"/>
        <w:ind w:firstLineChars="200" w:firstLine="640"/>
        <w:jc w:val="both"/>
        <w:rPr>
          <w:rFonts w:ascii="黑体" w:eastAsia="黑体" w:hAnsi="黑体" w:cs="宋体" w:hint="eastAsia"/>
          <w:kern w:val="2"/>
          <w:sz w:val="32"/>
          <w:szCs w:val="32"/>
        </w:rPr>
      </w:pPr>
      <w:r>
        <w:rPr>
          <w:rFonts w:ascii="黑体" w:eastAsia="黑体" w:hAnsi="黑体" w:cs="宋体" w:hint="eastAsia"/>
          <w:kern w:val="2"/>
          <w:sz w:val="32"/>
          <w:szCs w:val="32"/>
        </w:rPr>
        <w:t>三、主要内容</w:t>
      </w:r>
    </w:p>
    <w:p w14:paraId="63328D07" w14:textId="6DC6AC43" w:rsidR="00EE3E8A" w:rsidRPr="00EE3E8A" w:rsidRDefault="00EE3E8A" w:rsidP="00EE3E8A">
      <w:pPr>
        <w:spacing w:line="560" w:lineRule="exact"/>
        <w:ind w:firstLineChars="200" w:firstLine="640"/>
        <w:rPr>
          <w:rFonts w:ascii="楷体_GB2312" w:eastAsia="楷体_GB2312" w:hAnsi="等线" w:cs="Times New Roman" w:hint="eastAsia"/>
          <w:sz w:val="32"/>
          <w:szCs w:val="32"/>
          <w14:ligatures w14:val="standardContextual"/>
        </w:rPr>
      </w:pPr>
      <w:r w:rsidRPr="00EE3E8A">
        <w:rPr>
          <w:rFonts w:ascii="楷体_GB2312" w:eastAsia="楷体_GB2312" w:hAnsi="黑体" w:cs="Times New Roman" w:hint="eastAsia"/>
          <w:sz w:val="32"/>
          <w:szCs w:val="32"/>
          <w14:ligatures w14:val="standardContextual"/>
        </w:rPr>
        <w:t>（一）</w:t>
      </w:r>
      <w:r w:rsidRPr="00EE3E8A">
        <w:rPr>
          <w:rFonts w:ascii="楷体_GB2312" w:eastAsia="楷体_GB2312" w:hAnsi="等线" w:cs="Times New Roman" w:hint="eastAsia"/>
          <w:sz w:val="32"/>
          <w:szCs w:val="32"/>
          <w14:ligatures w14:val="standardContextual"/>
        </w:rPr>
        <w:t>“清单+项目”遴选模式</w:t>
      </w:r>
    </w:p>
    <w:p w14:paraId="255924DB" w14:textId="53949305" w:rsidR="00EE3E8A" w:rsidRPr="00EE3E8A" w:rsidRDefault="00EE3E8A" w:rsidP="00EE3E8A">
      <w:pPr>
        <w:spacing w:line="560" w:lineRule="exact"/>
        <w:ind w:firstLineChars="200" w:firstLine="640"/>
        <w:rPr>
          <w:rFonts w:ascii="仿宋_GB2312" w:eastAsia="仿宋_GB2312" w:hAnsi="等线" w:cs="Times New Roman" w:hint="eastAsia"/>
          <w:sz w:val="32"/>
          <w:szCs w:val="32"/>
          <w14:ligatures w14:val="standardContextual"/>
        </w:rPr>
      </w:pPr>
      <w:r w:rsidRPr="00EE3E8A">
        <w:rPr>
          <w:rFonts w:ascii="仿宋_GB2312" w:eastAsia="仿宋_GB2312" w:hAnsi="等线" w:cs="Times New Roman" w:hint="eastAsia"/>
          <w:sz w:val="32"/>
          <w:szCs w:val="32"/>
          <w14:ligatures w14:val="standardContextual"/>
        </w:rPr>
        <w:t>常态化征集、发布、遴选场景需求清单、场景技术清单和重大项目。场景需求清单和场景技术清单经筛选后公开发</w:t>
      </w:r>
      <w:r w:rsidRPr="00EE3E8A">
        <w:rPr>
          <w:rFonts w:ascii="仿宋_GB2312" w:eastAsia="仿宋_GB2312" w:hAnsi="等线" w:cs="Times New Roman" w:hint="eastAsia"/>
          <w:sz w:val="32"/>
          <w:szCs w:val="32"/>
          <w14:ligatures w14:val="standardContextual"/>
        </w:rPr>
        <w:lastRenderedPageBreak/>
        <w:t>布，市场化匹配合作，同时推荐给各相关单位</w:t>
      </w:r>
      <w:r>
        <w:rPr>
          <w:rFonts w:ascii="仿宋_GB2312" w:eastAsia="仿宋_GB2312" w:hAnsi="等线" w:cs="Times New Roman" w:hint="eastAsia"/>
          <w:sz w:val="32"/>
          <w:szCs w:val="32"/>
          <w14:ligatures w14:val="standardContextual"/>
        </w:rPr>
        <w:t>。</w:t>
      </w:r>
      <w:r w:rsidRPr="00EE3E8A">
        <w:rPr>
          <w:rFonts w:ascii="仿宋_GB2312" w:eastAsia="仿宋_GB2312" w:hAnsi="等线" w:cs="Times New Roman" w:hint="eastAsia"/>
          <w:sz w:val="32"/>
          <w:szCs w:val="32"/>
          <w14:ligatures w14:val="standardContextual"/>
        </w:rPr>
        <w:t>重大项目是指场景需求方与技术供给方已形成实际合作或达成合作意向的项目，由科学城管委会牵头、协同各相关单位组织遴选，根据项目情况通过专项资金给予一定支持。</w:t>
      </w:r>
    </w:p>
    <w:p w14:paraId="67E79AD5" w14:textId="0FEFE263" w:rsidR="00EE3E8A" w:rsidRPr="00EE3E8A" w:rsidRDefault="00EE3E8A" w:rsidP="00EE3E8A">
      <w:pPr>
        <w:spacing w:line="560" w:lineRule="exact"/>
        <w:ind w:firstLineChars="200" w:firstLine="640"/>
        <w:rPr>
          <w:rFonts w:ascii="楷体_GB2312" w:eastAsia="楷体_GB2312" w:hAnsi="等线" w:cs="Times New Roman" w:hint="eastAsia"/>
          <w:sz w:val="32"/>
          <w:szCs w:val="32"/>
          <w14:ligatures w14:val="standardContextual"/>
        </w:rPr>
      </w:pPr>
      <w:r w:rsidRPr="00EE3E8A">
        <w:rPr>
          <w:rFonts w:ascii="楷体_GB2312" w:eastAsia="楷体_GB2312" w:hAnsi="等线" w:cs="Times New Roman" w:hint="eastAsia"/>
          <w:sz w:val="32"/>
          <w:szCs w:val="32"/>
          <w14:ligatures w14:val="standardContextual"/>
        </w:rPr>
        <w:t>（二）“公共类+商业类”</w:t>
      </w:r>
      <w:r>
        <w:rPr>
          <w:rFonts w:ascii="楷体_GB2312" w:eastAsia="楷体_GB2312" w:hAnsi="等线" w:cs="Times New Roman" w:hint="eastAsia"/>
          <w:sz w:val="32"/>
          <w:szCs w:val="32"/>
          <w14:ligatures w14:val="standardContextual"/>
        </w:rPr>
        <w:t>项目分类</w:t>
      </w:r>
    </w:p>
    <w:p w14:paraId="56201258" w14:textId="77777777" w:rsidR="00961760" w:rsidRDefault="00EE3E8A" w:rsidP="00EE3E8A">
      <w:pPr>
        <w:spacing w:line="560" w:lineRule="exact"/>
        <w:ind w:firstLineChars="200" w:firstLine="640"/>
        <w:rPr>
          <w:rFonts w:ascii="仿宋_GB2312" w:eastAsia="仿宋_GB2312" w:hAnsi="等线" w:cs="Times New Roman"/>
          <w:sz w:val="32"/>
          <w:szCs w:val="32"/>
          <w14:ligatures w14:val="standardContextual"/>
        </w:rPr>
      </w:pPr>
      <w:r w:rsidRPr="00EE3E8A">
        <w:rPr>
          <w:rFonts w:ascii="仿宋_GB2312" w:eastAsia="仿宋_GB2312" w:hAnsi="等线" w:cs="Times New Roman" w:hint="eastAsia"/>
          <w:sz w:val="32"/>
          <w:szCs w:val="32"/>
          <w14:ligatures w14:val="standardContextual"/>
        </w:rPr>
        <w:t>公共类项目是由政府部门、事业单位作为场景方，且为提升公共服务质量和增进民生福祉的创新应用场景，经论证后可按照项目预算金额100%比例前置支持。</w:t>
      </w:r>
    </w:p>
    <w:p w14:paraId="3B2BBCD7" w14:textId="5F5B8C3E" w:rsidR="00EE3E8A" w:rsidRPr="00EE3E8A" w:rsidRDefault="00EE3E8A" w:rsidP="00EE3E8A">
      <w:pPr>
        <w:spacing w:line="560" w:lineRule="exact"/>
        <w:ind w:firstLineChars="200" w:firstLine="640"/>
        <w:rPr>
          <w:rFonts w:ascii="仿宋_GB2312" w:eastAsia="仿宋_GB2312" w:hAnsi="等线" w:cs="Times New Roman" w:hint="eastAsia"/>
          <w:sz w:val="32"/>
          <w:szCs w:val="32"/>
          <w14:ligatures w14:val="standardContextual"/>
        </w:rPr>
      </w:pPr>
      <w:r w:rsidRPr="00EE3E8A">
        <w:rPr>
          <w:rFonts w:ascii="仿宋_GB2312" w:eastAsia="仿宋_GB2312" w:hAnsi="等线" w:cs="Times New Roman" w:hint="eastAsia"/>
          <w:sz w:val="32"/>
          <w:szCs w:val="32"/>
          <w14:ligatures w14:val="standardContextual"/>
        </w:rPr>
        <w:t>商业类项目是由企业等市场主体作为场景方，为解决行业关键技术问题、提升企业经营效能、挖掘市场新需求等的创新应用场景，根据场景项目建设技术创新性、资金投入及其所产生经济效益、社会效益等进行综合评估，论证通过后给予项目总预算30%的资金支持。</w:t>
      </w:r>
    </w:p>
    <w:p w14:paraId="17F84752" w14:textId="555550A6" w:rsidR="00EE3E8A" w:rsidRPr="00EE3E8A" w:rsidRDefault="00EE3E8A" w:rsidP="00EE3E8A">
      <w:pPr>
        <w:spacing w:line="560" w:lineRule="exact"/>
        <w:ind w:firstLineChars="200" w:firstLine="640"/>
        <w:rPr>
          <w:rFonts w:ascii="楷体_GB2312" w:eastAsia="楷体_GB2312" w:hAnsi="等线" w:cs="Times New Roman" w:hint="eastAsia"/>
          <w:sz w:val="32"/>
          <w:szCs w:val="32"/>
          <w14:ligatures w14:val="standardContextual"/>
        </w:rPr>
      </w:pPr>
      <w:r w:rsidRPr="00EE3E8A">
        <w:rPr>
          <w:rFonts w:ascii="楷体_GB2312" w:eastAsia="楷体_GB2312" w:hAnsi="等线" w:cs="Times New Roman" w:hint="eastAsia"/>
          <w:sz w:val="32"/>
          <w:szCs w:val="32"/>
          <w14:ligatures w14:val="standardContextual"/>
        </w:rPr>
        <w:t>（三）市区两级政策</w:t>
      </w:r>
      <w:r w:rsidR="00961760">
        <w:rPr>
          <w:rFonts w:ascii="楷体_GB2312" w:eastAsia="楷体_GB2312" w:hAnsi="等线" w:cs="Times New Roman" w:hint="eastAsia"/>
          <w:sz w:val="32"/>
          <w:szCs w:val="32"/>
          <w14:ligatures w14:val="standardContextual"/>
        </w:rPr>
        <w:t>支持</w:t>
      </w:r>
    </w:p>
    <w:p w14:paraId="2AD4C5A5" w14:textId="414AB9C0" w:rsidR="00EE3E8A" w:rsidRPr="00EE3E8A" w:rsidRDefault="00961760" w:rsidP="00EE3E8A">
      <w:pPr>
        <w:spacing w:line="560" w:lineRule="exact"/>
        <w:ind w:firstLineChars="200" w:firstLine="640"/>
        <w:rPr>
          <w:rFonts w:ascii="仿宋_GB2312" w:eastAsia="仿宋_GB2312" w:hAnsi="等线" w:cs="Times New Roman" w:hint="eastAsia"/>
          <w:sz w:val="32"/>
          <w:szCs w:val="32"/>
          <w14:ligatures w14:val="standardContextual"/>
        </w:rPr>
      </w:pPr>
      <w:r>
        <w:rPr>
          <w:rFonts w:ascii="仿宋_GB2312" w:eastAsia="仿宋_GB2312" w:hAnsi="等线" w:cs="Times New Roman" w:hint="eastAsia"/>
          <w:sz w:val="32"/>
          <w:szCs w:val="32"/>
          <w14:ligatures w14:val="standardContextual"/>
        </w:rPr>
        <w:t>与</w:t>
      </w:r>
      <w:r w:rsidR="00EE3E8A" w:rsidRPr="00EE3E8A">
        <w:rPr>
          <w:rFonts w:ascii="仿宋_GB2312" w:eastAsia="仿宋_GB2312" w:hAnsi="等线" w:cs="Times New Roman" w:hint="eastAsia"/>
          <w:sz w:val="32"/>
          <w:szCs w:val="32"/>
          <w14:ligatures w14:val="standardContextual"/>
        </w:rPr>
        <w:t>市科委场景工作高度联动，鼓励优质场景项目积极争取市级支持</w:t>
      </w:r>
      <w:r>
        <w:rPr>
          <w:rFonts w:ascii="仿宋_GB2312" w:eastAsia="仿宋_GB2312" w:hAnsi="等线" w:cs="Times New Roman" w:hint="eastAsia"/>
          <w:sz w:val="32"/>
          <w:szCs w:val="32"/>
          <w14:ligatures w14:val="standardContextual"/>
        </w:rPr>
        <w:t>。</w:t>
      </w:r>
      <w:r w:rsidR="00EE3E8A" w:rsidRPr="00EE3E8A">
        <w:rPr>
          <w:rFonts w:ascii="仿宋_GB2312" w:eastAsia="仿宋_GB2312" w:hAnsi="等线" w:cs="Times New Roman" w:hint="eastAsia"/>
          <w:sz w:val="32"/>
          <w:szCs w:val="32"/>
          <w14:ligatures w14:val="standardContextual"/>
        </w:rPr>
        <w:t>市科委、中关村管委会采取事前补助方式，按照项目预算30%的比例，给予应用场景方或技术方不超过1000万元资金支持。项目经海淀区推荐若成功申报市级项目，</w:t>
      </w:r>
      <w:proofErr w:type="gramStart"/>
      <w:r w:rsidR="00EE3E8A" w:rsidRPr="00EE3E8A">
        <w:rPr>
          <w:rFonts w:ascii="仿宋_GB2312" w:eastAsia="仿宋_GB2312" w:hAnsi="等线" w:cs="Times New Roman" w:hint="eastAsia"/>
          <w:sz w:val="32"/>
          <w:szCs w:val="32"/>
          <w14:ligatures w14:val="standardContextual"/>
        </w:rPr>
        <w:t>免审即</w:t>
      </w:r>
      <w:proofErr w:type="gramEnd"/>
      <w:r w:rsidR="00EE3E8A" w:rsidRPr="00EE3E8A">
        <w:rPr>
          <w:rFonts w:ascii="仿宋_GB2312" w:eastAsia="仿宋_GB2312" w:hAnsi="等线" w:cs="Times New Roman" w:hint="eastAsia"/>
          <w:sz w:val="32"/>
          <w:szCs w:val="32"/>
          <w14:ligatures w14:val="standardContextual"/>
        </w:rPr>
        <w:t>享区级配套支持，市区两级合计最高支持项目总预算的50%（商业类项目）和100%（公共类项目）。</w:t>
      </w:r>
    </w:p>
    <w:p w14:paraId="3FAF0EE7" w14:textId="21301ADA" w:rsidR="00EE3E8A" w:rsidRPr="00EE3E8A" w:rsidRDefault="00EE3E8A" w:rsidP="00EE3E8A">
      <w:pPr>
        <w:spacing w:line="560" w:lineRule="exact"/>
        <w:ind w:firstLineChars="200" w:firstLine="640"/>
        <w:rPr>
          <w:rFonts w:ascii="楷体_GB2312" w:eastAsia="楷体_GB2312" w:hAnsi="等线" w:cs="Times New Roman" w:hint="eastAsia"/>
          <w:sz w:val="32"/>
          <w:szCs w:val="32"/>
          <w14:ligatures w14:val="standardContextual"/>
        </w:rPr>
      </w:pPr>
      <w:r w:rsidRPr="00EE3E8A">
        <w:rPr>
          <w:rFonts w:ascii="楷体_GB2312" w:eastAsia="楷体_GB2312" w:hAnsi="等线" w:cs="Times New Roman" w:hint="eastAsia"/>
          <w:sz w:val="32"/>
          <w:szCs w:val="32"/>
          <w14:ligatures w14:val="standardContextual"/>
        </w:rPr>
        <w:t>（四）</w:t>
      </w:r>
      <w:r w:rsidR="00961760">
        <w:rPr>
          <w:rFonts w:ascii="楷体_GB2312" w:eastAsia="楷体_GB2312" w:hAnsi="等线" w:cs="Times New Roman" w:hint="eastAsia"/>
          <w:sz w:val="32"/>
          <w:szCs w:val="32"/>
          <w14:ligatures w14:val="standardContextual"/>
        </w:rPr>
        <w:t>过程把关，高标准验收</w:t>
      </w:r>
    </w:p>
    <w:p w14:paraId="0C95D03D" w14:textId="77777777" w:rsidR="00961760" w:rsidRDefault="00961760" w:rsidP="00EE3E8A">
      <w:pPr>
        <w:spacing w:line="560" w:lineRule="exact"/>
        <w:ind w:firstLineChars="200" w:firstLine="640"/>
        <w:rPr>
          <w:rFonts w:ascii="仿宋_GB2312" w:eastAsia="仿宋_GB2312" w:hAnsi="等线" w:cs="Times New Roman"/>
          <w:sz w:val="32"/>
          <w:szCs w:val="32"/>
          <w14:ligatures w14:val="standardContextual"/>
        </w:rPr>
      </w:pPr>
      <w:r>
        <w:rPr>
          <w:rFonts w:ascii="仿宋_GB2312" w:eastAsia="仿宋_GB2312" w:hAnsi="等线" w:cs="Times New Roman" w:hint="eastAsia"/>
          <w:sz w:val="32"/>
          <w:szCs w:val="32"/>
          <w14:ligatures w14:val="standardContextual"/>
        </w:rPr>
        <w:t>参考</w:t>
      </w:r>
      <w:r w:rsidRPr="00961760">
        <w:rPr>
          <w:rFonts w:ascii="仿宋_GB2312" w:eastAsia="仿宋_GB2312" w:hAnsi="等线" w:cs="Times New Roman" w:hint="eastAsia"/>
          <w:sz w:val="32"/>
          <w:szCs w:val="32"/>
          <w14:ligatures w14:val="standardContextual"/>
        </w:rPr>
        <w:t>《北京市科技计划项目（课题）管理办法》（</w:t>
      </w:r>
      <w:proofErr w:type="gramStart"/>
      <w:r w:rsidRPr="00961760">
        <w:rPr>
          <w:rFonts w:ascii="仿宋_GB2312" w:eastAsia="仿宋_GB2312" w:hAnsi="等线" w:cs="Times New Roman" w:hint="eastAsia"/>
          <w:sz w:val="32"/>
          <w:szCs w:val="32"/>
          <w14:ligatures w14:val="standardContextual"/>
        </w:rPr>
        <w:t>京科资发</w:t>
      </w:r>
      <w:proofErr w:type="gramEnd"/>
      <w:r w:rsidRPr="00961760">
        <w:rPr>
          <w:rFonts w:ascii="仿宋_GB2312" w:eastAsia="仿宋_GB2312" w:hAnsi="等线" w:cs="Times New Roman" w:hint="eastAsia"/>
          <w:sz w:val="32"/>
          <w:szCs w:val="32"/>
          <w14:ligatures w14:val="standardContextual"/>
        </w:rPr>
        <w:t>〔2023〕43号）</w:t>
      </w:r>
      <w:r>
        <w:rPr>
          <w:rFonts w:ascii="仿宋_GB2312" w:eastAsia="仿宋_GB2312" w:hAnsi="等线" w:cs="Times New Roman" w:hint="eastAsia"/>
          <w:sz w:val="32"/>
          <w:szCs w:val="32"/>
          <w14:ligatures w14:val="standardContextual"/>
        </w:rPr>
        <w:t>，</w:t>
      </w:r>
      <w:r w:rsidR="00EE3E8A" w:rsidRPr="00EE3E8A">
        <w:rPr>
          <w:rFonts w:ascii="仿宋_GB2312" w:eastAsia="仿宋_GB2312" w:hAnsi="等线" w:cs="Times New Roman" w:hint="eastAsia"/>
          <w:sz w:val="32"/>
          <w:szCs w:val="32"/>
          <w14:ligatures w14:val="standardContextual"/>
        </w:rPr>
        <w:t>规范应用场景</w:t>
      </w:r>
      <w:r w:rsidR="00EE3E8A" w:rsidRPr="00EE3E8A">
        <w:rPr>
          <w:rFonts w:ascii="仿宋_GB2312" w:eastAsia="仿宋_GB2312" w:hAnsi="等线" w:cs="Times New Roman" w:hint="eastAsia"/>
          <w:bCs/>
          <w:sz w:val="32"/>
          <w:szCs w:val="32"/>
          <w14:ligatures w14:val="standardContextual"/>
        </w:rPr>
        <w:t>专项</w:t>
      </w:r>
      <w:r w:rsidR="00EE3E8A" w:rsidRPr="00EE3E8A">
        <w:rPr>
          <w:rFonts w:ascii="仿宋_GB2312" w:eastAsia="仿宋_GB2312" w:hAnsi="等线" w:cs="Times New Roman" w:hint="eastAsia"/>
          <w:sz w:val="32"/>
          <w:szCs w:val="32"/>
          <w14:ligatures w14:val="standardContextual"/>
        </w:rPr>
        <w:t>工作流程、考核方式、支持方式、监督管理等细节，确保应用场景工作有序、</w:t>
      </w:r>
      <w:r w:rsidR="00EE3E8A" w:rsidRPr="00EE3E8A">
        <w:rPr>
          <w:rFonts w:ascii="仿宋_GB2312" w:eastAsia="仿宋_GB2312" w:hAnsi="等线" w:cs="Times New Roman" w:hint="eastAsia"/>
          <w:sz w:val="32"/>
          <w:szCs w:val="32"/>
          <w14:ligatures w14:val="standardContextual"/>
        </w:rPr>
        <w:lastRenderedPageBreak/>
        <w:t>高效开展。</w:t>
      </w:r>
    </w:p>
    <w:p w14:paraId="39DB8418" w14:textId="6A625C05" w:rsidR="00EE3E8A" w:rsidRPr="00EE3E8A" w:rsidRDefault="00EE3E8A" w:rsidP="00EE3E8A">
      <w:pPr>
        <w:spacing w:line="560" w:lineRule="exact"/>
        <w:ind w:firstLineChars="200" w:firstLine="640"/>
        <w:rPr>
          <w:rFonts w:ascii="仿宋_GB2312" w:eastAsia="仿宋_GB2312" w:hAnsi="等线" w:cs="Times New Roman" w:hint="eastAsia"/>
          <w:sz w:val="32"/>
          <w:szCs w:val="32"/>
          <w14:ligatures w14:val="standardContextual"/>
        </w:rPr>
      </w:pPr>
      <w:r w:rsidRPr="00EE3E8A">
        <w:rPr>
          <w:rFonts w:ascii="仿宋_GB2312" w:eastAsia="仿宋_GB2312" w:hAnsi="等线" w:cs="Times New Roman" w:hint="eastAsia"/>
          <w:sz w:val="32"/>
          <w:szCs w:val="32"/>
          <w14:ligatures w14:val="standardContextual"/>
        </w:rPr>
        <w:t>考核指标按照技术创新性、产业示范性、复用推广性、经济社会效益性4大方面在任务书中具体约定。技术创新性考核场景解决方案本身及涉及的核心技术、产品曾获得的荣誉奖项，以及申报获得的专利、知识产权、国际国内标准等信息；产业示范性考核场景解决方案在产业领域的示范标杆作用；复用推广性考核场景解决方案是否具备较强的规模化应用潜力，是否能够在其他区域、其他领域快速复制推广；经济社会效益性考核场景解决方案可量化的直接经济效益、社会效益、生态效益等，例如降低成本、提高能效、提高品质、节能减排等。同时，鼓励技术提供方以增加研发投入、固定资产投入等形式，支撑应用场景项目建设。</w:t>
      </w:r>
    </w:p>
    <w:p w14:paraId="49977163" w14:textId="77777777" w:rsidR="00550D9C" w:rsidRPr="00EE3E8A" w:rsidRDefault="00550D9C" w:rsidP="00C42324">
      <w:pPr>
        <w:pStyle w:val="a3"/>
        <w:widowControl/>
        <w:spacing w:beforeAutospacing="0" w:afterAutospacing="0" w:line="560" w:lineRule="exact"/>
        <w:ind w:firstLineChars="200" w:firstLine="640"/>
        <w:jc w:val="both"/>
        <w:rPr>
          <w:rFonts w:ascii="仿宋_GB2312" w:eastAsia="仿宋_GB2312" w:hAnsi="宋体" w:cs="宋体" w:hint="eastAsia"/>
          <w:kern w:val="2"/>
          <w:sz w:val="32"/>
          <w:szCs w:val="32"/>
        </w:rPr>
      </w:pPr>
    </w:p>
    <w:p w14:paraId="5180718B" w14:textId="4DF24727" w:rsidR="000B4773" w:rsidRDefault="00423E36" w:rsidP="00C42324">
      <w:pPr>
        <w:pStyle w:val="a3"/>
        <w:widowControl/>
        <w:spacing w:beforeAutospacing="0" w:afterAutospacing="0" w:line="560" w:lineRule="exact"/>
        <w:ind w:firstLineChars="200" w:firstLine="640"/>
        <w:rPr>
          <w:rFonts w:ascii="仿宋_GB2312" w:eastAsia="仿宋_GB2312" w:hAnsi="宋体" w:cs="宋体" w:hint="eastAsia"/>
          <w:kern w:val="2"/>
          <w:sz w:val="32"/>
          <w:szCs w:val="32"/>
        </w:rPr>
      </w:pPr>
      <w:r>
        <w:rPr>
          <w:rFonts w:ascii="仿宋_GB2312" w:eastAsia="仿宋_GB2312" w:hAnsi="宋体" w:cs="宋体" w:hint="eastAsia"/>
          <w:kern w:val="2"/>
          <w:sz w:val="32"/>
          <w:szCs w:val="32"/>
        </w:rPr>
        <w:t>特此说明。</w:t>
      </w:r>
    </w:p>
    <w:p w14:paraId="0ECE6714" w14:textId="77777777" w:rsidR="00C42324" w:rsidRDefault="00C42324" w:rsidP="00C42324">
      <w:pPr>
        <w:pStyle w:val="a3"/>
        <w:widowControl/>
        <w:spacing w:beforeAutospacing="0" w:afterAutospacing="0" w:line="560" w:lineRule="exact"/>
        <w:ind w:firstLineChars="200" w:firstLine="640"/>
        <w:jc w:val="right"/>
        <w:rPr>
          <w:rFonts w:ascii="仿宋_GB2312" w:eastAsia="仿宋_GB2312" w:hAnsi="宋体" w:cs="宋体" w:hint="eastAsia"/>
          <w:kern w:val="2"/>
          <w:sz w:val="32"/>
          <w:szCs w:val="32"/>
        </w:rPr>
      </w:pPr>
    </w:p>
    <w:p w14:paraId="1DF8A3FE" w14:textId="77777777" w:rsidR="00C42324" w:rsidRDefault="00C42324" w:rsidP="00C42324">
      <w:pPr>
        <w:pStyle w:val="a3"/>
        <w:widowControl/>
        <w:spacing w:beforeAutospacing="0" w:afterAutospacing="0" w:line="560" w:lineRule="exact"/>
        <w:ind w:firstLineChars="200" w:firstLine="640"/>
        <w:jc w:val="right"/>
        <w:rPr>
          <w:rFonts w:ascii="仿宋_GB2312" w:eastAsia="仿宋_GB2312" w:hAnsi="宋体" w:cs="宋体"/>
          <w:kern w:val="2"/>
          <w:sz w:val="32"/>
          <w:szCs w:val="32"/>
        </w:rPr>
      </w:pPr>
    </w:p>
    <w:p w14:paraId="409625CD" w14:textId="77777777" w:rsidR="00961760" w:rsidRDefault="00961760" w:rsidP="00C42324">
      <w:pPr>
        <w:pStyle w:val="a3"/>
        <w:widowControl/>
        <w:spacing w:beforeAutospacing="0" w:afterAutospacing="0" w:line="560" w:lineRule="exact"/>
        <w:ind w:firstLineChars="200" w:firstLine="640"/>
        <w:jc w:val="right"/>
        <w:rPr>
          <w:rFonts w:ascii="仿宋_GB2312" w:eastAsia="仿宋_GB2312" w:hAnsi="宋体" w:cs="宋体" w:hint="eastAsia"/>
          <w:kern w:val="2"/>
          <w:sz w:val="32"/>
          <w:szCs w:val="32"/>
        </w:rPr>
      </w:pPr>
    </w:p>
    <w:p w14:paraId="71786391" w14:textId="1F55144D" w:rsidR="000B4773" w:rsidRDefault="007A2CB7" w:rsidP="00C42324">
      <w:pPr>
        <w:pStyle w:val="a3"/>
        <w:widowControl/>
        <w:spacing w:beforeAutospacing="0" w:afterAutospacing="0" w:line="560" w:lineRule="exact"/>
        <w:ind w:firstLineChars="200" w:firstLine="640"/>
        <w:jc w:val="right"/>
        <w:rPr>
          <w:rFonts w:ascii="仿宋_GB2312" w:eastAsia="仿宋_GB2312" w:hAnsi="宋体" w:cs="宋体" w:hint="eastAsia"/>
          <w:kern w:val="2"/>
          <w:sz w:val="32"/>
          <w:szCs w:val="32"/>
        </w:rPr>
      </w:pPr>
      <w:r>
        <w:rPr>
          <w:rFonts w:ascii="仿宋_GB2312" w:eastAsia="仿宋_GB2312" w:hAnsi="宋体" w:cs="宋体" w:hint="eastAsia"/>
          <w:kern w:val="2"/>
          <w:sz w:val="32"/>
          <w:szCs w:val="32"/>
        </w:rPr>
        <w:t>中关村科学城管委会</w:t>
      </w:r>
    </w:p>
    <w:p w14:paraId="5F72B76F" w14:textId="3910A1BE" w:rsidR="000B4773" w:rsidRDefault="007A2CB7" w:rsidP="00C42324">
      <w:pPr>
        <w:pStyle w:val="a3"/>
        <w:widowControl/>
        <w:spacing w:beforeAutospacing="0" w:afterAutospacing="0" w:line="560" w:lineRule="exact"/>
        <w:ind w:firstLineChars="200" w:firstLine="640"/>
        <w:jc w:val="center"/>
        <w:rPr>
          <w:rFonts w:ascii="仿宋_GB2312" w:eastAsia="仿宋_GB2312" w:hAnsi="宋体" w:cs="宋体" w:hint="eastAsia"/>
          <w:kern w:val="2"/>
          <w:sz w:val="32"/>
          <w:szCs w:val="32"/>
        </w:rPr>
      </w:pPr>
      <w:r>
        <w:rPr>
          <w:rFonts w:ascii="仿宋_GB2312" w:eastAsia="仿宋_GB2312" w:hAnsi="宋体" w:cs="宋体" w:hint="eastAsia"/>
          <w:kern w:val="2"/>
          <w:sz w:val="32"/>
          <w:szCs w:val="32"/>
        </w:rPr>
        <w:t xml:space="preserve">                              </w:t>
      </w:r>
      <w:r>
        <w:rPr>
          <w:rFonts w:ascii="仿宋_GB2312" w:eastAsia="仿宋_GB2312" w:hAnsi="宋体" w:cs="宋体"/>
          <w:kern w:val="2"/>
          <w:sz w:val="32"/>
          <w:szCs w:val="32"/>
        </w:rPr>
        <w:t>2025年</w:t>
      </w:r>
      <w:r w:rsidR="00961760">
        <w:rPr>
          <w:rFonts w:ascii="仿宋_GB2312" w:eastAsia="仿宋_GB2312" w:hAnsi="宋体" w:cs="宋体" w:hint="eastAsia"/>
          <w:kern w:val="2"/>
          <w:sz w:val="32"/>
          <w:szCs w:val="32"/>
        </w:rPr>
        <w:t>11</w:t>
      </w:r>
      <w:r>
        <w:rPr>
          <w:rFonts w:ascii="仿宋_GB2312" w:eastAsia="仿宋_GB2312" w:hAnsi="宋体" w:cs="宋体"/>
          <w:kern w:val="2"/>
          <w:sz w:val="32"/>
          <w:szCs w:val="32"/>
        </w:rPr>
        <w:t>月</w:t>
      </w:r>
      <w:r w:rsidR="00961760">
        <w:rPr>
          <w:rFonts w:ascii="仿宋_GB2312" w:eastAsia="仿宋_GB2312" w:hAnsi="宋体" w:cs="宋体" w:hint="eastAsia"/>
          <w:kern w:val="2"/>
          <w:sz w:val="32"/>
          <w:szCs w:val="32"/>
        </w:rPr>
        <w:t>10</w:t>
      </w:r>
      <w:r>
        <w:rPr>
          <w:rFonts w:ascii="仿宋_GB2312" w:eastAsia="仿宋_GB2312" w:hAnsi="宋体" w:cs="宋体"/>
          <w:kern w:val="2"/>
          <w:sz w:val="32"/>
          <w:szCs w:val="32"/>
        </w:rPr>
        <w:t>日</w:t>
      </w:r>
    </w:p>
    <w:p w14:paraId="1E23B1B7" w14:textId="77777777" w:rsidR="000B4773" w:rsidRDefault="000B4773" w:rsidP="00C42324">
      <w:pPr>
        <w:spacing w:line="560" w:lineRule="exact"/>
        <w:ind w:firstLineChars="200" w:firstLine="640"/>
        <w:rPr>
          <w:rFonts w:ascii="仿宋_GB2312" w:eastAsia="仿宋_GB2312" w:hAnsi="宋体" w:cs="宋体" w:hint="eastAsia"/>
          <w:sz w:val="32"/>
          <w:szCs w:val="32"/>
        </w:rPr>
      </w:pPr>
    </w:p>
    <w:sectPr w:rsidR="000B47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EA3A9" w14:textId="77777777" w:rsidR="00305D6E" w:rsidRDefault="00305D6E" w:rsidP="00550D9C">
      <w:r>
        <w:separator/>
      </w:r>
    </w:p>
  </w:endnote>
  <w:endnote w:type="continuationSeparator" w:id="0">
    <w:p w14:paraId="1F3AA0D4" w14:textId="77777777" w:rsidR="00305D6E" w:rsidRDefault="00305D6E" w:rsidP="0055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00000000000000000"/>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8D36E" w14:textId="77777777" w:rsidR="00305D6E" w:rsidRDefault="00305D6E" w:rsidP="00550D9C">
      <w:r>
        <w:separator/>
      </w:r>
    </w:p>
  </w:footnote>
  <w:footnote w:type="continuationSeparator" w:id="0">
    <w:p w14:paraId="1D3047C0" w14:textId="77777777" w:rsidR="00305D6E" w:rsidRDefault="00305D6E" w:rsidP="00550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773"/>
    <w:rsid w:val="000B4773"/>
    <w:rsid w:val="000C0393"/>
    <w:rsid w:val="00305D6E"/>
    <w:rsid w:val="00397CCF"/>
    <w:rsid w:val="00423E36"/>
    <w:rsid w:val="00541C6B"/>
    <w:rsid w:val="00550D9C"/>
    <w:rsid w:val="007A2CB7"/>
    <w:rsid w:val="008671ED"/>
    <w:rsid w:val="00961760"/>
    <w:rsid w:val="009A0D64"/>
    <w:rsid w:val="00C42324"/>
    <w:rsid w:val="00DB77E3"/>
    <w:rsid w:val="00EE3E8A"/>
    <w:rsid w:val="079E58BD"/>
    <w:rsid w:val="2AA5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FF321"/>
  <w15:docId w15:val="{5CC2BDF1-472C-46B6-8621-75F5904C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0D64"/>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rPr>
      <w:color w:val="0000FF"/>
      <w:u w:val="single"/>
    </w:rPr>
  </w:style>
  <w:style w:type="paragraph" w:styleId="a5">
    <w:name w:val="header"/>
    <w:basedOn w:val="a"/>
    <w:link w:val="a6"/>
    <w:rsid w:val="00550D9C"/>
    <w:pPr>
      <w:tabs>
        <w:tab w:val="center" w:pos="4153"/>
        <w:tab w:val="right" w:pos="8306"/>
      </w:tabs>
      <w:snapToGrid w:val="0"/>
      <w:jc w:val="center"/>
    </w:pPr>
    <w:rPr>
      <w:sz w:val="18"/>
      <w:szCs w:val="18"/>
    </w:rPr>
  </w:style>
  <w:style w:type="character" w:customStyle="1" w:styleId="a6">
    <w:name w:val="页眉 字符"/>
    <w:basedOn w:val="a0"/>
    <w:link w:val="a5"/>
    <w:rsid w:val="00550D9C"/>
    <w:rPr>
      <w:rFonts w:asciiTheme="minorHAnsi" w:eastAsiaTheme="minorEastAsia" w:hAnsiTheme="minorHAnsi" w:cstheme="minorBidi"/>
      <w:kern w:val="2"/>
      <w:sz w:val="18"/>
      <w:szCs w:val="18"/>
    </w:rPr>
  </w:style>
  <w:style w:type="paragraph" w:styleId="a7">
    <w:name w:val="footer"/>
    <w:basedOn w:val="a"/>
    <w:link w:val="a8"/>
    <w:rsid w:val="00550D9C"/>
    <w:pPr>
      <w:tabs>
        <w:tab w:val="center" w:pos="4153"/>
        <w:tab w:val="right" w:pos="8306"/>
      </w:tabs>
      <w:snapToGrid w:val="0"/>
      <w:jc w:val="left"/>
    </w:pPr>
    <w:rPr>
      <w:sz w:val="18"/>
      <w:szCs w:val="18"/>
    </w:rPr>
  </w:style>
  <w:style w:type="character" w:customStyle="1" w:styleId="a8">
    <w:name w:val="页脚 字符"/>
    <w:basedOn w:val="a0"/>
    <w:link w:val="a7"/>
    <w:rsid w:val="00550D9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629</Words>
  <Characters>800</Characters>
  <Application>Microsoft Office Word</Application>
  <DocSecurity>0</DocSecurity>
  <Lines>44</Lines>
  <Paragraphs>37</Paragraphs>
  <ScaleCrop>false</ScaleCrop>
  <Company>Microsoft</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fankaiyuan</dc:creator>
  <cp:lastModifiedBy>Xu Han</cp:lastModifiedBy>
  <cp:revision>6</cp:revision>
  <dcterms:created xsi:type="dcterms:W3CDTF">2025-02-19T09:50:00Z</dcterms:created>
  <dcterms:modified xsi:type="dcterms:W3CDTF">2025-11-10T01:50:00Z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eyJoZGlkIjoiODdiNmFlMTM5MTkxNGMxMzQyZWQzYjJmNzZmYzMyMmIiLCJ1c2VySWQiOiI5NzU3OTExODYifQ==</vt:lpwstr>
  </property>
  <property fmtid="{D5CDD505-2E9C-101B-9397-08002B2CF9AE}" pid="4" name="ICV">
    <vt:lpwstr>69785DA897154E4B90F8F6EA1EA0DF85_12</vt:lpwstr>
  </property>
</Properties>
</file>