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E394">
      <w:pPr>
        <w:pStyle w:val="13"/>
        <w:bidi w:val="0"/>
        <w:rPr>
          <w:rFonts w:hint="default"/>
          <w:lang w:val="en-US" w:eastAsia="zh-CN"/>
        </w:rPr>
      </w:pPr>
      <w:bookmarkStart w:id="0" w:name="_GoBack"/>
      <w:r>
        <w:rPr>
          <w:rFonts w:hint="default"/>
          <w:lang w:val="en-US" w:eastAsia="zh-CN"/>
        </w:rPr>
        <w:t>《北京市东城区关于推动低效楼宇品质提升促进产业高质量发展的若干措施》政策解读</w:t>
      </w:r>
    </w:p>
    <w:bookmarkEnd w:id="0"/>
    <w:p w14:paraId="373978EB">
      <w:pPr>
        <w:pStyle w:val="8"/>
        <w:bidi w:val="0"/>
        <w:jc w:val="both"/>
        <w:rPr>
          <w:rFonts w:hint="default"/>
          <w:lang w:val="en-US" w:eastAsia="zh-CN"/>
        </w:rPr>
      </w:pPr>
      <w:r>
        <w:rPr>
          <w:rFonts w:hint="default"/>
          <w:lang w:val="en-US" w:eastAsia="zh-CN"/>
        </w:rPr>
        <w:t>日期：2025-11-08 13:54</w:t>
      </w:r>
      <w:r>
        <w:rPr>
          <w:rFonts w:hint="eastAsia"/>
          <w:lang w:val="en-US" w:eastAsia="zh-CN"/>
        </w:rPr>
        <w:t xml:space="preserve">                 </w:t>
      </w:r>
      <w:r>
        <w:rPr>
          <w:rFonts w:hint="default"/>
          <w:lang w:val="en-US" w:eastAsia="zh-CN"/>
        </w:rPr>
        <w:t>来源：北京市东城区投资促进服务中心</w:t>
      </w:r>
    </w:p>
    <w:p w14:paraId="329B3E7D">
      <w:pPr>
        <w:pStyle w:val="2"/>
        <w:bidi w:val="0"/>
        <w:rPr>
          <w:rFonts w:hint="default"/>
          <w:lang w:val="en-US" w:eastAsia="zh-CN"/>
        </w:rPr>
      </w:pPr>
      <w:r>
        <w:rPr>
          <w:rFonts w:hint="default"/>
          <w:lang w:val="en-US" w:eastAsia="zh-CN"/>
        </w:rPr>
        <w:t>一、政策制定背景是什么？</w:t>
      </w:r>
    </w:p>
    <w:p w14:paraId="2485B3E4">
      <w:pPr>
        <w:bidi w:val="0"/>
        <w:ind w:firstLine="560" w:firstLineChars="200"/>
        <w:rPr>
          <w:rFonts w:hint="default"/>
          <w:lang w:val="en-US" w:eastAsia="zh-CN"/>
        </w:rPr>
      </w:pPr>
      <w:r>
        <w:rPr>
          <w:rFonts w:hint="default"/>
          <w:lang w:val="en-US" w:eastAsia="zh-CN"/>
        </w:rPr>
        <w:t>为进一步落实北京城市总体规划减量集约发展要求，加快建设具有首都特色的现代化产业体系，北京市陆续出台《北京市城市更新条例》及《北京市发展和改革委员会关于印发加强腾退低效产业空间改造利用促进产业高质量发展实施方案的通知》等相关法规及政策文件，为深入落实上级相关文件要求，主动适应经济发展新形势，结合城市更新行动，有效推动低效楼宇改造升级、功能优化、提质增效，加快高精尖产业资源集聚，打造区域高质量发展强劲支点。结合东城区发展实际，制定《北京市东城区关于推动低效楼宇品质提升促进产业高质量发展的若干措施》。</w:t>
      </w:r>
    </w:p>
    <w:p w14:paraId="0A18DA6E">
      <w:pPr>
        <w:pStyle w:val="2"/>
        <w:bidi w:val="0"/>
        <w:rPr>
          <w:rFonts w:hint="default"/>
          <w:lang w:val="en-US" w:eastAsia="zh-CN"/>
        </w:rPr>
      </w:pPr>
      <w:r>
        <w:rPr>
          <w:rFonts w:hint="default"/>
          <w:lang w:val="en-US" w:eastAsia="zh-CN"/>
        </w:rPr>
        <w:t>二、政策制定依据是什么？</w:t>
      </w:r>
    </w:p>
    <w:p w14:paraId="7E0BEAF8">
      <w:pPr>
        <w:bidi w:val="0"/>
        <w:ind w:firstLine="560" w:firstLineChars="200"/>
        <w:rPr>
          <w:rFonts w:hint="default"/>
          <w:lang w:val="en-US" w:eastAsia="zh-CN"/>
        </w:rPr>
      </w:pPr>
      <w:r>
        <w:rPr>
          <w:rFonts w:hint="default"/>
          <w:lang w:val="en-US" w:eastAsia="zh-CN"/>
        </w:rPr>
        <w:t>根据《北京市城市更新条例》及《北京市发展和改革委员会关于印发加强腾退低效产业空间改造利用促进产业高质量发展实施方案的通知》（?京发改规〔2023〕12号）等相关文件精神，结合东城区实际制定本政策。</w:t>
      </w:r>
    </w:p>
    <w:p w14:paraId="29215DE4">
      <w:pPr>
        <w:pStyle w:val="2"/>
        <w:bidi w:val="0"/>
        <w:rPr>
          <w:rFonts w:hint="default"/>
          <w:lang w:val="en-US" w:eastAsia="zh-CN"/>
        </w:rPr>
      </w:pPr>
      <w:r>
        <w:rPr>
          <w:rFonts w:hint="default"/>
          <w:lang w:val="en-US" w:eastAsia="zh-CN"/>
        </w:rPr>
        <w:t>三、政策制定目标是什么？</w:t>
      </w:r>
    </w:p>
    <w:p w14:paraId="4D5CBBB1">
      <w:pPr>
        <w:bidi w:val="0"/>
        <w:ind w:firstLine="560" w:firstLineChars="200"/>
        <w:rPr>
          <w:rFonts w:hint="default"/>
          <w:lang w:val="en-US" w:eastAsia="zh-CN"/>
        </w:rPr>
      </w:pPr>
      <w:r>
        <w:rPr>
          <w:rFonts w:hint="default"/>
          <w:lang w:val="en-US" w:eastAsia="zh-CN"/>
        </w:rPr>
        <w:t>结合城市更新行动，支持低效楼宇改造升级，实现功能提升、品质提升、效益提升，盘活低效空间、导入核心产业、强化复合利用，推动存量空间资源能用尽用，提高产业承载力。</w:t>
      </w:r>
    </w:p>
    <w:p w14:paraId="2B33BB31">
      <w:pPr>
        <w:pStyle w:val="2"/>
        <w:bidi w:val="0"/>
        <w:rPr>
          <w:rFonts w:hint="default"/>
          <w:lang w:val="en-US" w:eastAsia="zh-CN"/>
        </w:rPr>
      </w:pPr>
      <w:r>
        <w:rPr>
          <w:rFonts w:hint="default"/>
          <w:lang w:val="en-US" w:eastAsia="zh-CN"/>
        </w:rPr>
        <w:t>四、政策支持项目主要是什么？</w:t>
      </w:r>
    </w:p>
    <w:p w14:paraId="6D60D851">
      <w:pPr>
        <w:bidi w:val="0"/>
        <w:ind w:firstLine="560" w:firstLineChars="200"/>
        <w:rPr>
          <w:rFonts w:hint="default"/>
          <w:lang w:val="en-US" w:eastAsia="zh-CN"/>
        </w:rPr>
      </w:pPr>
      <w:r>
        <w:rPr>
          <w:rFonts w:hint="default"/>
          <w:lang w:val="en-US" w:eastAsia="zh-CN"/>
        </w:rPr>
        <w:t>建筑面积3000平方米以上的整栋空置、正在使用但入驻率偏低（实际出租面积/楼宇建筑总面积≤70%）、按“疏解整治促提升”要求已完成疏解腾退、现状功能定位或经营业态不符合城市发展功能需求的商务楼宇项目等。</w:t>
      </w:r>
    </w:p>
    <w:p w14:paraId="3E1D7BAF">
      <w:pPr>
        <w:pStyle w:val="2"/>
        <w:bidi w:val="0"/>
        <w:rPr>
          <w:rFonts w:hint="default"/>
          <w:lang w:val="en-US" w:eastAsia="zh-CN"/>
        </w:rPr>
      </w:pPr>
      <w:r>
        <w:rPr>
          <w:rFonts w:hint="default"/>
          <w:lang w:val="en-US" w:eastAsia="zh-CN"/>
        </w:rPr>
        <w:t>五、政策主要内容是什么？</w:t>
      </w:r>
    </w:p>
    <w:p w14:paraId="458D5220">
      <w:pPr>
        <w:bidi w:val="0"/>
        <w:ind w:firstLine="560" w:firstLineChars="200"/>
        <w:rPr>
          <w:rFonts w:hint="default"/>
          <w:lang w:val="en-US" w:eastAsia="zh-CN"/>
        </w:rPr>
      </w:pPr>
      <w:r>
        <w:rPr>
          <w:rFonts w:hint="default"/>
          <w:lang w:val="en-US" w:eastAsia="zh-CN"/>
        </w:rPr>
        <w:t>《措施》包括五个章节8条，主要内容包括：</w:t>
      </w:r>
    </w:p>
    <w:p w14:paraId="41B31DBB">
      <w:pPr>
        <w:bidi w:val="0"/>
        <w:ind w:firstLine="560" w:firstLineChars="200"/>
        <w:rPr>
          <w:rFonts w:hint="default"/>
          <w:lang w:val="en-US" w:eastAsia="zh-CN"/>
        </w:rPr>
      </w:pPr>
      <w:r>
        <w:rPr>
          <w:rFonts w:hint="default"/>
          <w:lang w:val="en-US" w:eastAsia="zh-CN"/>
        </w:rPr>
        <w:t>一是总则，2项条款。明确政策上位依据、适用对象及支持项目等内容。</w:t>
      </w:r>
    </w:p>
    <w:p w14:paraId="47AC46EC">
      <w:pPr>
        <w:bidi w:val="0"/>
        <w:ind w:firstLine="560" w:firstLineChars="200"/>
        <w:rPr>
          <w:rFonts w:hint="default"/>
          <w:lang w:val="en-US" w:eastAsia="zh-CN"/>
        </w:rPr>
      </w:pPr>
      <w:r>
        <w:rPr>
          <w:rFonts w:hint="default"/>
          <w:lang w:val="en-US" w:eastAsia="zh-CN"/>
        </w:rPr>
        <w:t>二是具体支持事项，3个章节3项条款。围绕支持楼宇改造升级、加强楼宇统筹服务、优化楼宇发展环境等三个方面重点阐述，重点支持低效楼宇品质提升，加快盘活低效空间，推动存量空间资源能用尽用，提高产业承载力。</w:t>
      </w:r>
    </w:p>
    <w:p w14:paraId="462BC449">
      <w:pPr>
        <w:bidi w:val="0"/>
        <w:ind w:firstLine="560" w:firstLineChars="200"/>
        <w:rPr>
          <w:rFonts w:hint="default"/>
          <w:lang w:val="en-US" w:eastAsia="zh-CN"/>
        </w:rPr>
      </w:pPr>
      <w:r>
        <w:rPr>
          <w:rFonts w:hint="default"/>
          <w:lang w:val="en-US" w:eastAsia="zh-CN"/>
        </w:rPr>
        <w:t>三是附则，3项条款。明确政策制定单位、解释单位以及政策实施期限等。</w:t>
      </w:r>
    </w:p>
    <w:p w14:paraId="7AEE38B3">
      <w:pPr>
        <w:bidi w:val="0"/>
        <w:ind w:firstLine="560" w:firstLineChars="200"/>
        <w:rPr>
          <w:rFonts w:hint="default"/>
          <w:lang w:val="en-US" w:eastAsia="zh-CN"/>
        </w:rPr>
      </w:pPr>
      <w:r>
        <w:rPr>
          <w:rFonts w:hint="default"/>
          <w:lang w:val="en-US" w:eastAsia="zh-CN"/>
        </w:rPr>
        <w:t>https://www.bjdch.gov.cn/zwgk/zcjd2024/202511/t20251108_4266216.html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70B0758"/>
    <w:rsid w:val="38D5360F"/>
    <w:rsid w:val="3A6A181A"/>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F46CD2"/>
    <w:rsid w:val="5966249A"/>
    <w:rsid w:val="599D54F4"/>
    <w:rsid w:val="5ABE63C0"/>
    <w:rsid w:val="5B5F3C17"/>
    <w:rsid w:val="5C0F18E6"/>
    <w:rsid w:val="5CC16308"/>
    <w:rsid w:val="5D942074"/>
    <w:rsid w:val="5F173C19"/>
    <w:rsid w:val="5F42540D"/>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C270DD3"/>
    <w:rsid w:val="6C705350"/>
    <w:rsid w:val="6D872A5A"/>
    <w:rsid w:val="6E1F25FD"/>
    <w:rsid w:val="6E413E28"/>
    <w:rsid w:val="6F4638FD"/>
    <w:rsid w:val="70956FE4"/>
    <w:rsid w:val="71020CE1"/>
    <w:rsid w:val="733B7399"/>
    <w:rsid w:val="73F7433F"/>
    <w:rsid w:val="74185C2E"/>
    <w:rsid w:val="74FE333F"/>
    <w:rsid w:val="756F626F"/>
    <w:rsid w:val="75930F1E"/>
    <w:rsid w:val="775748F9"/>
    <w:rsid w:val="77BF12F7"/>
    <w:rsid w:val="78264085"/>
    <w:rsid w:val="79060B26"/>
    <w:rsid w:val="798E17BF"/>
    <w:rsid w:val="79D16624"/>
    <w:rsid w:val="79DD1DCA"/>
    <w:rsid w:val="79E44119"/>
    <w:rsid w:val="7A5A1A94"/>
    <w:rsid w:val="7AA0221D"/>
    <w:rsid w:val="7B705706"/>
    <w:rsid w:val="7D470D1C"/>
    <w:rsid w:val="7DCC36B1"/>
    <w:rsid w:val="7E0E1F5B"/>
    <w:rsid w:val="7E775604"/>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2025-11-10T09:43:49Z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8B7FB67D6FF84D93A08692C55AD851BA_13</vt:lpwstr>
  </property>
  <property fmtid="{D5CDD505-2E9C-101B-9397-08002B2CF9AE}" pid="4" name="KSOTemplateDocerSaveRecord">
    <vt:lpwstr>eyJoZGlkIjoiM2JiNDc5YjNlNzUwNGE3ZjRiZjg4NmI0YjQzZjM0NWQiLCJ1c2VySWQiOiIxNDU2NzYxMDUwIn0=</vt:lpwstr>
  </property>
</Properties>
</file>