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94D3">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4</w:t>
      </w:r>
    </w:p>
    <w:p w14:paraId="025C2DF8">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OLE_LINK4"/>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1" w:name="OLE_LINK2"/>
      <w:bookmarkStart w:id="2" w:name="OLE_LINK1"/>
      <w:r>
        <w:rPr>
          <w:rFonts w:hint="eastAsia" w:ascii="方正小标宋简体" w:hAnsi="方正小标宋简体" w:eastAsia="方正小标宋简体" w:cs="方正小标宋简体"/>
          <w:sz w:val="44"/>
          <w:szCs w:val="44"/>
          <w:lang w:val="en-US" w:eastAsia="zh-CN"/>
        </w:rPr>
        <w:t>发展数字文化贸易</w:t>
      </w:r>
      <w:bookmarkEnd w:id="1"/>
      <w:r>
        <w:rPr>
          <w:rFonts w:hint="eastAsia" w:ascii="方正小标宋简体" w:hAnsi="方正小标宋简体" w:eastAsia="方正小标宋简体" w:cs="方正小标宋简体"/>
          <w:sz w:val="44"/>
          <w:szCs w:val="44"/>
          <w:lang w:val="en-US" w:eastAsia="zh-CN"/>
        </w:rPr>
        <w:t>支持</w:t>
      </w:r>
      <w:bookmarkEnd w:id="2"/>
    </w:p>
    <w:p w14:paraId="39351B15">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bookmarkEnd w:id="0"/>
    </w:p>
    <w:p w14:paraId="417388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Cs/>
          <w:color w:val="000000"/>
          <w:kern w:val="2"/>
          <w:sz w:val="32"/>
          <w:szCs w:val="18"/>
          <w:lang w:val="en-US" w:eastAsia="zh-CN" w:bidi="ar-SA"/>
        </w:rPr>
      </w:pPr>
    </w:p>
    <w:p w14:paraId="5D6556D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FA2DE64">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中第8条支持发展数字文化贸易中“鼓励数字文化产品（服务）企业赴海外发展，开展数字传媒、数字娱乐、数字出版等业务（包括游戏、音乐、影视、动漫、网文等）。对于</w:t>
      </w:r>
      <w:bookmarkStart w:id="3" w:name="OLE_LINK3"/>
      <w:r>
        <w:rPr>
          <w:rFonts w:hint="eastAsia" w:ascii="仿宋_GB2312" w:eastAsia="仿宋_GB2312"/>
          <w:bCs/>
          <w:color w:val="000000"/>
          <w:sz w:val="32"/>
          <w:lang w:val="en-US" w:eastAsia="zh-CN"/>
        </w:rPr>
        <w:t>年度涉外收入金额分别达350万元人民币、1500万元人民币、1亿元人民币及以上的企业，经评审认定后分别按照不超过涉外收入金额的1%、3%、6%给予支持。”</w:t>
      </w:r>
    </w:p>
    <w:bookmarkEnd w:id="3"/>
    <w:p w14:paraId="39A7ACC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4BF739B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rPr>
        <w:t>2024年度发展数字文化贸易支持</w:t>
      </w:r>
    </w:p>
    <w:p w14:paraId="5FEEA22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3C6CBF6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14:paraId="094B62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eastAsia="仿宋_GB2312"/>
          <w:bCs/>
          <w:color w:val="000000"/>
          <w:sz w:val="32"/>
          <w:szCs w:val="18"/>
        </w:rPr>
        <w:t>（二）申报主体</w:t>
      </w:r>
      <w:r>
        <w:rPr>
          <w:rFonts w:hint="eastAsia" w:ascii="仿宋_GB2312" w:eastAsia="仿宋_GB2312"/>
          <w:bCs/>
          <w:color w:val="000000"/>
          <w:sz w:val="32"/>
          <w:szCs w:val="18"/>
          <w:lang w:val="en-US" w:eastAsia="zh-CN"/>
        </w:rPr>
        <w:t>应从事</w:t>
      </w:r>
      <w:r>
        <w:rPr>
          <w:rFonts w:hint="eastAsia" w:ascii="仿宋_GB2312" w:eastAsia="仿宋_GB2312"/>
          <w:bCs/>
          <w:color w:val="000000"/>
          <w:sz w:val="32"/>
          <w:lang w:val="en-US" w:eastAsia="zh-CN"/>
        </w:rPr>
        <w:t>数字传媒、数字娱乐、数字出版等业务（包括游戏、音乐、影视、动漫、网文等），且数字文化产品（服务）赴海外发展，2024</w:t>
      </w:r>
      <w:r>
        <w:rPr>
          <w:rFonts w:hint="eastAsia" w:ascii="仿宋_GB2312" w:eastAsia="仿宋_GB2312"/>
          <w:bCs/>
          <w:color w:val="000000"/>
          <w:sz w:val="32"/>
          <w:szCs w:val="18"/>
          <w:lang w:val="en-US" w:eastAsia="zh-CN"/>
        </w:rPr>
        <w:t>年度涉外收入金额达350万元人民币及以上</w:t>
      </w:r>
      <w:r>
        <w:rPr>
          <w:rFonts w:hint="eastAsia" w:ascii="仿宋_GB2312" w:hAnsi="仿宋_GB2312" w:eastAsia="仿宋_GB2312" w:cs="仿宋_GB2312"/>
          <w:kern w:val="0"/>
          <w:sz w:val="32"/>
          <w:szCs w:val="32"/>
          <w:lang w:eastAsia="zh-CN" w:bidi="ar"/>
        </w:rPr>
        <w:t>。</w:t>
      </w:r>
    </w:p>
    <w:p w14:paraId="7FE05E3B">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1"/>
          <w:rFonts w:hint="default" w:ascii="仿宋_GB2312" w:hAnsi="仿宋_GB2312" w:eastAsia="仿宋_GB2312" w:cs="仿宋_GB2312"/>
          <w:b w:val="0"/>
          <w:bCs/>
          <w:color w:val="auto"/>
          <w:sz w:val="32"/>
          <w:szCs w:val="32"/>
          <w:highlight w:val="none"/>
          <w:lang w:val="en-US" w:eastAsia="zh-CN"/>
        </w:rPr>
      </w:pPr>
      <w:r>
        <w:rPr>
          <w:rStyle w:val="11"/>
          <w:rFonts w:hint="eastAsia" w:ascii="仿宋_GB2312" w:hAnsi="仿宋_GB2312" w:eastAsia="仿宋_GB2312" w:cs="仿宋_GB2312"/>
          <w:b w:val="0"/>
          <w:bCs/>
          <w:color w:val="auto"/>
          <w:sz w:val="32"/>
          <w:szCs w:val="32"/>
          <w:highlight w:val="none"/>
          <w:lang w:val="en-US" w:eastAsia="zh-CN"/>
        </w:rPr>
        <w:t>（三）申报主体主要管理团队成员在亦庄新城范围开展产品（服务）相关研发工作。</w:t>
      </w:r>
    </w:p>
    <w:p w14:paraId="1A8F0865">
      <w:pPr>
        <w:pStyle w:val="5"/>
        <w:spacing w:line="560" w:lineRule="exact"/>
        <w:ind w:firstLine="640" w:firstLineChars="200"/>
        <w:rPr>
          <w:rFonts w:hint="eastAsia"/>
          <w:lang w:val="en-US" w:eastAsia="zh-CN"/>
        </w:rPr>
      </w:pPr>
      <w:r>
        <w:rPr>
          <w:rStyle w:val="11"/>
          <w:rFonts w:hint="eastAsia" w:ascii="仿宋_GB2312" w:hAnsi="仿宋_GB2312" w:eastAsia="仿宋_GB2312" w:cs="仿宋_GB2312"/>
          <w:b w:val="0"/>
          <w:bCs/>
          <w:color w:val="auto"/>
          <w:sz w:val="32"/>
          <w:szCs w:val="32"/>
          <w:highlight w:val="none"/>
          <w:lang w:val="en-US" w:eastAsia="zh-CN"/>
        </w:rPr>
        <w:t>（四）涉外收入包括：游戏销售收入、文化产品销售收入、广告收入、订阅服务收入以及授权与合作收入等，具体金额为企业申报取得的《涉外收入申报单》（国家外汇管理局制发）中确认的涉外收入金额。</w:t>
      </w:r>
    </w:p>
    <w:p w14:paraId="5D8B341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14:paraId="1FB9E3EC">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bCs/>
          <w:color w:val="000000"/>
          <w:sz w:val="32"/>
          <w:szCs w:val="18"/>
        </w:rPr>
        <w:t>（一）</w:t>
      </w:r>
      <w:r>
        <w:rPr>
          <w:rFonts w:hint="eastAsia" w:ascii="仿宋_GB2312" w:eastAsia="仿宋_GB2312"/>
          <w:bCs/>
          <w:color w:val="000000"/>
          <w:sz w:val="32"/>
          <w:szCs w:val="18"/>
          <w:lang w:val="en-US" w:eastAsia="zh-CN"/>
        </w:rPr>
        <w:t>申报主体在2024年1月1日（含）至2024年12月31日期间，申报取得的《涉外收入申报单》（国家外汇管理局制发）中确认的涉外收入金额</w:t>
      </w:r>
      <w:r>
        <w:rPr>
          <w:rFonts w:hint="eastAsia" w:ascii="仿宋_GB2312" w:eastAsia="仿宋_GB2312"/>
          <w:bCs/>
          <w:color w:val="000000"/>
          <w:sz w:val="32"/>
          <w:lang w:val="en-US" w:eastAsia="zh-CN"/>
        </w:rPr>
        <w:t>分别达350万元人民币、1500万元人民币、1亿元人民币及以上的，经评审认定后分别按照不超过涉外收入金额的1%、3%、6%给予支持。</w:t>
      </w:r>
    </w:p>
    <w:p w14:paraId="40AB87E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14:paraId="097F302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BA30A1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年度发展数字文化贸易支持申报表，在线填写；</w:t>
      </w:r>
    </w:p>
    <w:p w14:paraId="556F8B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5E29DAFB">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6ABFEB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463ADCEA">
      <w:pPr>
        <w:pStyle w:val="2"/>
        <w:keepNext w:val="0"/>
        <w:keepLines w:val="0"/>
        <w:pageBreakBefore w:val="0"/>
        <w:kinsoku/>
        <w:wordWrap/>
        <w:overflowPunct/>
        <w:topLinePunct w:val="0"/>
        <w:autoSpaceDE/>
        <w:autoSpaceDN/>
        <w:bidi w:val="0"/>
        <w:spacing w:line="560" w:lineRule="exact"/>
        <w:ind w:firstLine="566" w:firstLineChars="177"/>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5.企业2023年、2024年度财务审计报告，原件彩色扫描上传；</w:t>
      </w:r>
    </w:p>
    <w:p w14:paraId="4171E7B1">
      <w:pPr>
        <w:pStyle w:val="2"/>
        <w:keepNext w:val="0"/>
        <w:keepLines w:val="0"/>
        <w:pageBreakBefore w:val="0"/>
        <w:kinsoku/>
        <w:wordWrap/>
        <w:overflowPunct/>
        <w:topLinePunct w:val="0"/>
        <w:autoSpaceDE/>
        <w:autoSpaceDN/>
        <w:bidi w:val="0"/>
        <w:spacing w:line="560" w:lineRule="exact"/>
        <w:ind w:firstLine="587" w:firstLineChars="177"/>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6.数字文化产品（服务）企业赴海外发展</w:t>
      </w:r>
      <w:r>
        <w:rPr>
          <w:rFonts w:hint="eastAsia" w:ascii="仿宋_GB2312" w:hAnsi="仿宋_GB2312" w:eastAsia="仿宋_GB2312" w:cs="仿宋_GB2312"/>
          <w:spacing w:val="6"/>
          <w:sz w:val="32"/>
          <w:szCs w:val="32"/>
          <w:lang w:val="en-US" w:eastAsia="zh-CN"/>
        </w:rPr>
        <w:t>情况报告，</w:t>
      </w:r>
      <w:r>
        <w:rPr>
          <w:rFonts w:hint="eastAsia" w:ascii="仿宋_GB2312" w:hAnsi="仿宋_GB2312" w:eastAsia="仿宋_GB2312" w:cs="仿宋_GB2312"/>
          <w:spacing w:val="6"/>
          <w:sz w:val="32"/>
          <w:szCs w:val="32"/>
        </w:rPr>
        <w:t>（包含</w:t>
      </w:r>
      <w:r>
        <w:rPr>
          <w:rFonts w:hint="eastAsia" w:ascii="仿宋_GB2312" w:hAnsi="仿宋_GB2312" w:eastAsia="仿宋_GB2312" w:cs="仿宋_GB2312"/>
          <w:spacing w:val="6"/>
          <w:sz w:val="32"/>
          <w:szCs w:val="32"/>
          <w:lang w:val="en-US" w:eastAsia="zh-CN"/>
        </w:rPr>
        <w:t>但不限于</w:t>
      </w:r>
      <w:r>
        <w:rPr>
          <w:rFonts w:hint="eastAsia" w:ascii="仿宋_GB2312" w:hAnsi="仿宋_GB2312" w:eastAsia="仿宋_GB2312" w:cs="仿宋_GB2312"/>
          <w:spacing w:val="6"/>
          <w:sz w:val="32"/>
          <w:szCs w:val="32"/>
        </w:rPr>
        <w:t>公司简介、业务</w:t>
      </w:r>
      <w:r>
        <w:rPr>
          <w:rFonts w:hint="eastAsia" w:ascii="仿宋_GB2312" w:hAnsi="仿宋_GB2312" w:eastAsia="仿宋_GB2312" w:cs="仿宋_GB2312"/>
          <w:spacing w:val="6"/>
          <w:sz w:val="32"/>
          <w:szCs w:val="32"/>
          <w:lang w:val="en-US" w:eastAsia="zh-CN"/>
        </w:rPr>
        <w:t>介绍（相关</w:t>
      </w:r>
      <w:r>
        <w:rPr>
          <w:rFonts w:hint="eastAsia" w:ascii="仿宋_GB2312" w:hAnsi="仿宋_GB2312" w:eastAsia="仿宋_GB2312" w:cs="仿宋_GB2312"/>
          <w:spacing w:val="6"/>
          <w:sz w:val="32"/>
          <w:szCs w:val="32"/>
        </w:rPr>
        <w:t>数字传媒、数字娱乐、数字出版等</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技术团队情况、</w:t>
      </w:r>
      <w:r>
        <w:rPr>
          <w:rFonts w:hint="eastAsia" w:ascii="仿宋_GB2312" w:hAnsi="仿宋_GB2312" w:eastAsia="仿宋_GB2312" w:cs="仿宋_GB2312"/>
          <w:spacing w:val="6"/>
          <w:sz w:val="32"/>
          <w:szCs w:val="32"/>
        </w:rPr>
        <w:t>出海业务</w:t>
      </w:r>
      <w:r>
        <w:rPr>
          <w:rFonts w:hint="eastAsia" w:ascii="仿宋_GB2312" w:hAnsi="仿宋_GB2312" w:eastAsia="仿宋_GB2312" w:cs="仿宋_GB2312"/>
          <w:spacing w:val="6"/>
          <w:sz w:val="32"/>
          <w:szCs w:val="32"/>
          <w:lang w:val="en-US" w:eastAsia="zh-CN"/>
        </w:rPr>
        <w:t>发展情况</w:t>
      </w:r>
      <w:r>
        <w:rPr>
          <w:rFonts w:hint="eastAsia" w:ascii="仿宋_GB2312" w:hAnsi="仿宋_GB2312" w:eastAsia="仿宋_GB2312" w:cs="仿宋_GB2312"/>
          <w:spacing w:val="6"/>
          <w:sz w:val="32"/>
          <w:szCs w:val="32"/>
        </w:rPr>
        <w:t>情况、未来3年发展规划）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lang w:val="en-US" w:eastAsia="zh-CN"/>
        </w:rPr>
        <w:t>加盖公章，彩色扫描上传；</w:t>
      </w:r>
    </w:p>
    <w:p w14:paraId="00012B42">
      <w:pPr>
        <w:pStyle w:val="2"/>
        <w:keepNext w:val="0"/>
        <w:keepLines w:val="0"/>
        <w:pageBreakBefore w:val="0"/>
        <w:kinsoku/>
        <w:wordWrap/>
        <w:overflowPunct/>
        <w:topLinePunct w:val="0"/>
        <w:autoSpaceDE/>
        <w:autoSpaceDN/>
        <w:bidi w:val="0"/>
        <w:spacing w:line="560" w:lineRule="exact"/>
        <w:ind w:firstLine="587" w:firstLineChars="17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企业2024</w:t>
      </w:r>
      <w:r>
        <w:rPr>
          <w:rFonts w:hint="eastAsia" w:ascii="仿宋_GB2312" w:hAnsi="仿宋_GB2312" w:eastAsia="仿宋_GB2312" w:cs="仿宋_GB2312"/>
          <w:spacing w:val="6"/>
          <w:sz w:val="32"/>
          <w:szCs w:val="32"/>
        </w:rPr>
        <w:t>年度涉外收入相关</w:t>
      </w:r>
      <w:r>
        <w:rPr>
          <w:rFonts w:hint="eastAsia" w:ascii="仿宋_GB2312" w:hAnsi="仿宋_GB2312" w:eastAsia="仿宋_GB2312" w:cs="仿宋_GB2312"/>
          <w:spacing w:val="6"/>
          <w:sz w:val="32"/>
          <w:szCs w:val="32"/>
          <w:lang w:val="en-US" w:eastAsia="zh-CN"/>
        </w:rPr>
        <w:t>材料</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包括但不限于介绍具体业务情况、每项业务相关海外收入证明，证明可以为</w:t>
      </w:r>
      <w:r>
        <w:rPr>
          <w:rFonts w:hint="eastAsia" w:ascii="仿宋_GB2312" w:hAnsi="仿宋_GB2312" w:eastAsia="仿宋_GB2312" w:cs="仿宋_GB2312"/>
          <w:spacing w:val="6"/>
          <w:sz w:val="32"/>
          <w:szCs w:val="32"/>
        </w:rPr>
        <w:t>《涉外收入申报单》、外汇结算凭证、海外市场运营数据等</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原件彩色扫描上传；</w:t>
      </w:r>
    </w:p>
    <w:p w14:paraId="1113E4CA">
      <w:pPr>
        <w:pStyle w:val="2"/>
        <w:keepNext w:val="0"/>
        <w:keepLines w:val="0"/>
        <w:pageBreakBefore w:val="0"/>
        <w:kinsoku/>
        <w:wordWrap/>
        <w:overflowPunct/>
        <w:topLinePunct w:val="0"/>
        <w:autoSpaceDE/>
        <w:autoSpaceDN/>
        <w:bidi w:val="0"/>
        <w:spacing w:line="560" w:lineRule="exact"/>
        <w:ind w:firstLine="566" w:firstLineChars="177"/>
        <w:textAlignment w:val="auto"/>
        <w:rPr>
          <w:rFonts w:hint="eastAsia" w:ascii="仿宋_GB2312" w:hAnsi="仿宋_GB2312" w:eastAsia="仿宋_GB2312" w:cs="仿宋_GB2312"/>
          <w:sz w:val="32"/>
          <w:szCs w:val="32"/>
          <w:lang w:val="en-US" w:eastAsia="zh-CN"/>
        </w:rPr>
      </w:pPr>
      <w:r>
        <w:rPr>
          <w:rFonts w:hint="eastAsia" w:ascii="Times New Roman" w:eastAsia="仿宋_GB2312" w:cs="仿宋_GB2312"/>
          <w:kern w:val="0"/>
          <w:sz w:val="32"/>
          <w:szCs w:val="32"/>
          <w:highlight w:val="none"/>
          <w:lang w:val="en-US" w:eastAsia="zh-CN"/>
        </w:rPr>
        <w:t>8.企业主要管理团队成员相关证明材料，包括但不限于管理团队成员名单、成员《北京市社会保险个人权益记录（参保人员缴费信息）》，</w:t>
      </w:r>
      <w:r>
        <w:rPr>
          <w:rFonts w:hint="eastAsia" w:ascii="仿宋_GB2312" w:hAnsi="仿宋_GB2312" w:eastAsia="仿宋_GB2312" w:cs="仿宋_GB2312"/>
          <w:spacing w:val="6"/>
          <w:sz w:val="32"/>
          <w:szCs w:val="32"/>
          <w:lang w:val="en-US" w:eastAsia="zh-CN"/>
        </w:rPr>
        <w:t>原件彩色扫描上传；</w:t>
      </w:r>
    </w:p>
    <w:p w14:paraId="3E94A83F">
      <w:pPr>
        <w:pStyle w:val="2"/>
        <w:keepNext w:val="0"/>
        <w:keepLines w:val="0"/>
        <w:pageBreakBefore w:val="0"/>
        <w:kinsoku/>
        <w:wordWrap/>
        <w:overflowPunct/>
        <w:topLinePunct w:val="0"/>
        <w:autoSpaceDE/>
        <w:autoSpaceDN/>
        <w:bidi w:val="0"/>
        <w:spacing w:line="560" w:lineRule="exact"/>
        <w:ind w:firstLine="587" w:firstLineChars="17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企业相关资质荣誉，包括但不限于</w:t>
      </w:r>
      <w:r>
        <w:rPr>
          <w:rFonts w:hint="eastAsia" w:ascii="Times New Roman" w:hAnsi="Times New Roman" w:eastAsia="仿宋_GB2312" w:cs="仿宋_GB2312"/>
          <w:kern w:val="0"/>
          <w:sz w:val="32"/>
          <w:szCs w:val="32"/>
          <w:highlight w:val="none"/>
          <w:lang w:val="en-US" w:eastAsia="zh-CN"/>
        </w:rPr>
        <w:t>文化出海重点企业认定</w:t>
      </w:r>
      <w:r>
        <w:rPr>
          <w:rFonts w:hint="eastAsia" w:ascii="Times New Roman" w:eastAsia="仿宋_GB2312" w:cs="仿宋_GB2312"/>
          <w:kern w:val="0"/>
          <w:sz w:val="32"/>
          <w:szCs w:val="32"/>
          <w:highlight w:val="none"/>
          <w:lang w:val="en-US" w:eastAsia="zh-CN"/>
        </w:rPr>
        <w:t>证书，其他</w:t>
      </w:r>
      <w:r>
        <w:rPr>
          <w:rFonts w:hint="eastAsia" w:ascii="仿宋_GB2312" w:hAnsi="仿宋_GB2312" w:eastAsia="仿宋_GB2312" w:cs="仿宋_GB2312"/>
          <w:spacing w:val="6"/>
          <w:sz w:val="32"/>
          <w:szCs w:val="32"/>
          <w:lang w:val="en-US" w:eastAsia="zh-CN"/>
        </w:rPr>
        <w:t>获奖证书、资质荣誉、知识产权等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pacing w:val="6"/>
          <w:sz w:val="32"/>
          <w:szCs w:val="32"/>
          <w:lang w:val="en-US" w:eastAsia="zh-CN"/>
        </w:rPr>
        <w:t>原件</w:t>
      </w:r>
      <w:r>
        <w:rPr>
          <w:rFonts w:hint="eastAsia" w:ascii="仿宋_GB2312" w:hAnsi="仿宋_GB2312" w:eastAsia="仿宋_GB2312" w:cs="仿宋_GB2312"/>
          <w:sz w:val="32"/>
          <w:szCs w:val="32"/>
          <w:lang w:val="en-US" w:eastAsia="zh-CN"/>
        </w:rPr>
        <w:t>彩色扫描上传；</w:t>
      </w:r>
    </w:p>
    <w:p w14:paraId="76AEF8AE">
      <w:pPr>
        <w:keepNext w:val="0"/>
        <w:keepLines w:val="0"/>
        <w:pageBreakBefore w:val="0"/>
        <w:kinsoku/>
        <w:wordWrap/>
        <w:overflowPunct/>
        <w:topLinePunct w:val="0"/>
        <w:autoSpaceDE/>
        <w:autoSpaceDN/>
        <w:bidi w:val="0"/>
        <w:spacing w:line="560" w:lineRule="exact"/>
        <w:ind w:firstLine="664" w:firstLineChars="200"/>
        <w:textAlignment w:val="auto"/>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.其他证明</w:t>
      </w:r>
      <w:r>
        <w:rPr>
          <w:rFonts w:hint="eastAsia" w:ascii="仿宋_GB2312" w:hAnsi="仿宋_GB2312" w:eastAsia="仿宋_GB2312" w:cs="仿宋_GB2312"/>
          <w:spacing w:val="6"/>
          <w:sz w:val="32"/>
          <w:szCs w:val="32"/>
          <w:lang w:val="en-US" w:eastAsia="zh-CN"/>
        </w:rPr>
        <w:t>材料，原件彩色扫描上传</w:t>
      </w:r>
      <w:r>
        <w:rPr>
          <w:rFonts w:hint="eastAsia" w:ascii="仿宋_GB2312" w:hAnsi="仿宋_GB2312" w:eastAsia="仿宋_GB2312" w:cs="仿宋_GB2312"/>
          <w:spacing w:val="6"/>
          <w:sz w:val="32"/>
          <w:szCs w:val="32"/>
          <w:lang w:eastAsia="zh-CN"/>
        </w:rPr>
        <w:t>。</w:t>
      </w:r>
    </w:p>
    <w:p w14:paraId="1DC0E2D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2BF0B3F4">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737C9047">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6842788B">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08EE8C5">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09C7A64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0AE0B2E">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056845BC">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42C3721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7C6DF19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0114E74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163CB0D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6481373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1BFE3B8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bookmarkStart w:id="4" w:name="_GoBack"/>
      <w:bookmarkEnd w:id="4"/>
      <w:r>
        <w:rPr>
          <w:rFonts w:hint="eastAsia" w:ascii="仿宋_GB2312" w:hAnsi="仿宋_GB2312" w:eastAsia="仿宋_GB2312" w:cs="仿宋_GB2312"/>
          <w:sz w:val="32"/>
          <w:szCs w:val="32"/>
          <w:highlight w:val="none"/>
        </w:rPr>
        <w:t>日</w:t>
      </w:r>
    </w:p>
    <w:p w14:paraId="5ED8D30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370DF99A">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6BF5F48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3A993B7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02BDB03F">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3AB4334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6CC28E4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22BBB04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146C80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41AB09E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1FA7B4D"/>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7A322A"/>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B434E5"/>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865199"/>
    <w:rsid w:val="0D920D6C"/>
    <w:rsid w:val="0D9E4973"/>
    <w:rsid w:val="0E2A5EE7"/>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4C915C3"/>
    <w:rsid w:val="15026CFF"/>
    <w:rsid w:val="151415E7"/>
    <w:rsid w:val="153730CA"/>
    <w:rsid w:val="15453B8B"/>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BEB499C"/>
    <w:rsid w:val="1C14717E"/>
    <w:rsid w:val="1C1B504A"/>
    <w:rsid w:val="1C21356A"/>
    <w:rsid w:val="1C2B4E13"/>
    <w:rsid w:val="1C3B6D59"/>
    <w:rsid w:val="1C6E285C"/>
    <w:rsid w:val="1C7B6FF9"/>
    <w:rsid w:val="1D075252"/>
    <w:rsid w:val="1D451EB0"/>
    <w:rsid w:val="1D615728"/>
    <w:rsid w:val="1D761D5A"/>
    <w:rsid w:val="1E3278A5"/>
    <w:rsid w:val="1E447CA3"/>
    <w:rsid w:val="1E463F1E"/>
    <w:rsid w:val="1EBB252A"/>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7C55D4"/>
    <w:rsid w:val="238F1E47"/>
    <w:rsid w:val="23CE54A2"/>
    <w:rsid w:val="23E34E21"/>
    <w:rsid w:val="24AB3E23"/>
    <w:rsid w:val="2533284F"/>
    <w:rsid w:val="25594938"/>
    <w:rsid w:val="255A71D2"/>
    <w:rsid w:val="25DF3625"/>
    <w:rsid w:val="261E412A"/>
    <w:rsid w:val="26396DF4"/>
    <w:rsid w:val="26446E71"/>
    <w:rsid w:val="26602BD3"/>
    <w:rsid w:val="271005EA"/>
    <w:rsid w:val="2727206E"/>
    <w:rsid w:val="273D6D1B"/>
    <w:rsid w:val="275E3649"/>
    <w:rsid w:val="2768133E"/>
    <w:rsid w:val="27721755"/>
    <w:rsid w:val="27874815"/>
    <w:rsid w:val="281D6715"/>
    <w:rsid w:val="284F58AA"/>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796C3F"/>
    <w:rsid w:val="31AA66BF"/>
    <w:rsid w:val="31D65AF9"/>
    <w:rsid w:val="3201564A"/>
    <w:rsid w:val="321C265E"/>
    <w:rsid w:val="32343B0A"/>
    <w:rsid w:val="32A70709"/>
    <w:rsid w:val="32FE69F0"/>
    <w:rsid w:val="336B64D8"/>
    <w:rsid w:val="33D147E6"/>
    <w:rsid w:val="33E75D8A"/>
    <w:rsid w:val="33F4CAF3"/>
    <w:rsid w:val="341807F9"/>
    <w:rsid w:val="342465E2"/>
    <w:rsid w:val="343F4F31"/>
    <w:rsid w:val="3469157A"/>
    <w:rsid w:val="347C0671"/>
    <w:rsid w:val="34B21D2C"/>
    <w:rsid w:val="34D83195"/>
    <w:rsid w:val="34E04A84"/>
    <w:rsid w:val="34E65163"/>
    <w:rsid w:val="35135498"/>
    <w:rsid w:val="35465824"/>
    <w:rsid w:val="354F42BD"/>
    <w:rsid w:val="3573124D"/>
    <w:rsid w:val="359527A9"/>
    <w:rsid w:val="35B01629"/>
    <w:rsid w:val="35B56B4B"/>
    <w:rsid w:val="36744D66"/>
    <w:rsid w:val="36E95DAE"/>
    <w:rsid w:val="371371EE"/>
    <w:rsid w:val="37184DFF"/>
    <w:rsid w:val="37B84612"/>
    <w:rsid w:val="37C93788"/>
    <w:rsid w:val="37D78B33"/>
    <w:rsid w:val="37EF6300"/>
    <w:rsid w:val="37FD7B6F"/>
    <w:rsid w:val="380942B0"/>
    <w:rsid w:val="382D54B8"/>
    <w:rsid w:val="38363290"/>
    <w:rsid w:val="383A3742"/>
    <w:rsid w:val="384236F6"/>
    <w:rsid w:val="38425D04"/>
    <w:rsid w:val="38732C18"/>
    <w:rsid w:val="387A66CC"/>
    <w:rsid w:val="38921ED5"/>
    <w:rsid w:val="38C22A0D"/>
    <w:rsid w:val="39122B90"/>
    <w:rsid w:val="393063E5"/>
    <w:rsid w:val="394B4A07"/>
    <w:rsid w:val="39511D42"/>
    <w:rsid w:val="3967591C"/>
    <w:rsid w:val="39731517"/>
    <w:rsid w:val="39791EC9"/>
    <w:rsid w:val="397B72CC"/>
    <w:rsid w:val="39841846"/>
    <w:rsid w:val="399C38E8"/>
    <w:rsid w:val="39A60AA5"/>
    <w:rsid w:val="39C93AF0"/>
    <w:rsid w:val="3A4526E1"/>
    <w:rsid w:val="3A5D281B"/>
    <w:rsid w:val="3A906CBE"/>
    <w:rsid w:val="3AA934A6"/>
    <w:rsid w:val="3ACC2DDC"/>
    <w:rsid w:val="3B0A5D15"/>
    <w:rsid w:val="3B6877C8"/>
    <w:rsid w:val="3BDA7DE5"/>
    <w:rsid w:val="3C276677"/>
    <w:rsid w:val="3C2F160E"/>
    <w:rsid w:val="3C5F033A"/>
    <w:rsid w:val="3CD117BD"/>
    <w:rsid w:val="3CF83180"/>
    <w:rsid w:val="3D0B1E04"/>
    <w:rsid w:val="3D23696B"/>
    <w:rsid w:val="3D94503B"/>
    <w:rsid w:val="3DAA6DAB"/>
    <w:rsid w:val="3DD55352"/>
    <w:rsid w:val="3DD73586"/>
    <w:rsid w:val="3DE32562"/>
    <w:rsid w:val="3E20508B"/>
    <w:rsid w:val="3E45398E"/>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A70F36"/>
    <w:rsid w:val="40C0750A"/>
    <w:rsid w:val="410178FA"/>
    <w:rsid w:val="419C40BE"/>
    <w:rsid w:val="41A74911"/>
    <w:rsid w:val="41C24932"/>
    <w:rsid w:val="41EE09AD"/>
    <w:rsid w:val="42167715"/>
    <w:rsid w:val="42271CA4"/>
    <w:rsid w:val="423A4979"/>
    <w:rsid w:val="42553C37"/>
    <w:rsid w:val="4275720E"/>
    <w:rsid w:val="42847FF6"/>
    <w:rsid w:val="42AB283A"/>
    <w:rsid w:val="43465CD3"/>
    <w:rsid w:val="436939F1"/>
    <w:rsid w:val="44256103"/>
    <w:rsid w:val="444923EA"/>
    <w:rsid w:val="445E5EFA"/>
    <w:rsid w:val="445F1218"/>
    <w:rsid w:val="44993F4E"/>
    <w:rsid w:val="44F72146"/>
    <w:rsid w:val="44FE5424"/>
    <w:rsid w:val="450205F5"/>
    <w:rsid w:val="45276590"/>
    <w:rsid w:val="452B2CE7"/>
    <w:rsid w:val="459F5DC5"/>
    <w:rsid w:val="45C327BF"/>
    <w:rsid w:val="45DB5022"/>
    <w:rsid w:val="45DE6545"/>
    <w:rsid w:val="4634401A"/>
    <w:rsid w:val="46352992"/>
    <w:rsid w:val="465A4BC4"/>
    <w:rsid w:val="467F7F60"/>
    <w:rsid w:val="469D497C"/>
    <w:rsid w:val="46C07C6D"/>
    <w:rsid w:val="46D46FCB"/>
    <w:rsid w:val="46F44A2C"/>
    <w:rsid w:val="46FA7954"/>
    <w:rsid w:val="473F0C29"/>
    <w:rsid w:val="474159DD"/>
    <w:rsid w:val="477E5E01"/>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E87A7F"/>
    <w:rsid w:val="4CF91E5B"/>
    <w:rsid w:val="4D181700"/>
    <w:rsid w:val="4D2034D1"/>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6D1E69"/>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A92062"/>
    <w:rsid w:val="5EBB0773"/>
    <w:rsid w:val="5EC9424F"/>
    <w:rsid w:val="5F3F6EB7"/>
    <w:rsid w:val="5F595787"/>
    <w:rsid w:val="5F8D1C46"/>
    <w:rsid w:val="5FBD03D0"/>
    <w:rsid w:val="5FE50B69"/>
    <w:rsid w:val="601B4866"/>
    <w:rsid w:val="60303D05"/>
    <w:rsid w:val="60386110"/>
    <w:rsid w:val="606977B6"/>
    <w:rsid w:val="60B75222"/>
    <w:rsid w:val="610966E3"/>
    <w:rsid w:val="61677FB2"/>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3F3ADF"/>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044771"/>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634A7D"/>
    <w:rsid w:val="73AC6967"/>
    <w:rsid w:val="73AE56BA"/>
    <w:rsid w:val="73C11488"/>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281E68"/>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Plain Text"/>
    <w:basedOn w:val="1"/>
    <w:next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1724</Words>
  <Characters>1935</Characters>
  <Lines>13</Lines>
  <Paragraphs>3</Paragraphs>
  <TotalTime>2</TotalTime>
  <ScaleCrop>false</ScaleCrop>
  <LinksUpToDate>false</LinksUpToDate>
  <CharactersWithSpaces>1935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2025-10-28T01:15:47Z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