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after="0" w:line="560" w:lineRule="exact"/>
        <w:jc w:val="left"/>
        <w:rPr>
          <w:rFonts w:hint="eastAsia" w:ascii="黑体" w:hAnsi="黑体" w:eastAsia="黑体" w:cs="方正小标宋简体"/>
          <w:kern w:val="0"/>
          <w:sz w:val="32"/>
          <w:szCs w:val="32"/>
        </w:rPr>
      </w:pPr>
      <w:bookmarkStart w:id="3" w:name="_GoBack"/>
      <w:bookmarkEnd w:id="3"/>
      <w:r>
        <w:rPr>
          <w:rFonts w:hint="eastAsia" w:ascii="黑体" w:hAnsi="黑体" w:eastAsia="黑体" w:cs="方正小标宋简体"/>
          <w:kern w:val="0"/>
          <w:sz w:val="32"/>
          <w:szCs w:val="32"/>
        </w:rPr>
        <w:t>附件</w:t>
      </w:r>
      <w:r>
        <w:rPr>
          <w:rFonts w:hint="eastAsia" w:ascii="黑体" w:hAnsi="黑体" w:eastAsia="黑体" w:cs="方正小标宋简体"/>
          <w:kern w:val="0"/>
          <w:sz w:val="32"/>
          <w:szCs w:val="32"/>
          <w:lang w:val="en-US" w:eastAsia="zh-CN"/>
        </w:rPr>
        <w:t>1</w:t>
      </w:r>
      <w:r>
        <w:rPr>
          <w:rFonts w:hint="eastAsia" w:ascii="黑体" w:hAnsi="黑体" w:eastAsia="黑体" w:cs="方正小标宋简体"/>
          <w:kern w:val="0"/>
          <w:sz w:val="32"/>
          <w:szCs w:val="32"/>
        </w:rPr>
        <w:t xml:space="preserve">  </w:t>
      </w:r>
    </w:p>
    <w:p>
      <w:pPr>
        <w:spacing w:after="0" w:line="560" w:lineRule="exact"/>
        <w:jc w:val="center"/>
        <w:rPr>
          <w:rFonts w:hint="eastAsia" w:ascii="方正小标宋简体" w:hAnsi="黑体" w:eastAsia="方正小标宋简体" w:cs="方正小标宋简体"/>
          <w:sz w:val="44"/>
          <w:szCs w:val="44"/>
        </w:rPr>
      </w:pPr>
    </w:p>
    <w:p>
      <w:pPr>
        <w:spacing w:after="0" w:line="56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cs="方正小标宋简体"/>
          <w:sz w:val="44"/>
          <w:szCs w:val="44"/>
        </w:rPr>
        <w:t>202</w:t>
      </w:r>
      <w:r>
        <w:rPr>
          <w:rFonts w:hint="eastAsia" w:ascii="方正小标宋简体" w:hAnsi="黑体" w:eastAsia="方正小标宋简体" w:cs="方正小标宋简体"/>
          <w:sz w:val="44"/>
          <w:szCs w:val="44"/>
          <w:lang w:val="en-US" w:eastAsia="zh-CN"/>
        </w:rPr>
        <w:t>6</w:t>
      </w:r>
      <w:r>
        <w:rPr>
          <w:rFonts w:hint="eastAsia" w:ascii="方正小标宋简体" w:hAnsi="黑体" w:eastAsia="方正小标宋简体" w:cs="方正小标宋简体"/>
          <w:sz w:val="44"/>
          <w:szCs w:val="44"/>
        </w:rPr>
        <w:t>年</w:t>
      </w:r>
      <w:r>
        <w:rPr>
          <w:rFonts w:hint="eastAsia" w:ascii="方正小标宋简体" w:hAnsi="黑体" w:eastAsia="方正小标宋简体" w:cs="方正小标宋简体"/>
          <w:sz w:val="44"/>
          <w:szCs w:val="44"/>
          <w:lang w:eastAsia="zh-CN"/>
        </w:rPr>
        <w:t>北京市企业出题类</w:t>
      </w:r>
      <w:r>
        <w:rPr>
          <w:rFonts w:hint="eastAsia" w:ascii="方正小标宋简体" w:hAnsi="黑体" w:eastAsia="方正小标宋简体" w:cs="方正小标宋简体"/>
          <w:sz w:val="44"/>
          <w:szCs w:val="44"/>
        </w:rPr>
        <w:t>“揭榜挂帅”榜单</w:t>
      </w:r>
    </w:p>
    <w:p>
      <w:pPr>
        <w:spacing w:after="0" w:line="560" w:lineRule="exact"/>
        <w:rPr>
          <w:rFonts w:hint="eastAsia" w:ascii="仿宋_GB2312" w:eastAsia="仿宋_GB2312" w:cs="仿宋" w:hAnsiTheme="minorEastAsia"/>
          <w:bCs/>
          <w:sz w:val="32"/>
          <w:szCs w:val="32"/>
        </w:rPr>
      </w:pPr>
    </w:p>
    <w:tbl>
      <w:tblPr>
        <w:tblStyle w:val="10"/>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hint="eastAsia" w:ascii="黑体" w:hAnsi="黑体" w:eastAsia="黑体" w:cs="黑体"/>
                <w:sz w:val="24"/>
                <w:szCs w:val="24"/>
                <w:lang w:eastAsia="zh-CN"/>
              </w:rPr>
            </w:pPr>
            <w:r>
              <w:rPr>
                <w:rFonts w:hint="eastAsia" w:ascii="黑体" w:hAnsi="黑体" w:eastAsia="黑体" w:cs="黑体"/>
                <w:sz w:val="24"/>
                <w:szCs w:val="24"/>
              </w:rPr>
              <w:t>需求项目</w:t>
            </w:r>
            <w:r>
              <w:rPr>
                <w:rFonts w:hint="eastAsia" w:ascii="黑体" w:hAnsi="黑体" w:eastAsia="黑体" w:cs="黑体"/>
                <w:sz w:val="24"/>
                <w:szCs w:val="24"/>
                <w:lang w:eastAsia="zh-CN"/>
              </w:rPr>
              <w:t>（一）</w:t>
            </w:r>
          </w:p>
        </w:tc>
        <w:tc>
          <w:tcPr>
            <w:tcW w:w="7135" w:type="dxa"/>
            <w:vAlign w:val="center"/>
          </w:tcPr>
          <w:p>
            <w:pPr>
              <w:spacing w:line="360" w:lineRule="auto"/>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基于马立克氏病毒Ⅰ型载体构建预防H5亚型、H7亚型、</w:t>
            </w:r>
            <w:r>
              <w:rPr>
                <w:rFonts w:hint="eastAsia" w:asciiTheme="minorEastAsia" w:hAnsiTheme="minorEastAsia" w:eastAsiaTheme="minorEastAsia" w:cstheme="minorEastAsia"/>
                <w:sz w:val="24"/>
                <w:szCs w:val="24"/>
                <w:highlight w:val="none"/>
              </w:rPr>
              <w:t>H9亚型禽流感、鸡传染性法氏囊病的重组活疫苗的研制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hint="eastAsia" w:ascii="黑体" w:hAnsi="黑体" w:eastAsia="黑体" w:cs="黑体"/>
                <w:sz w:val="24"/>
                <w:szCs w:val="24"/>
              </w:rPr>
            </w:pPr>
            <w:r>
              <w:rPr>
                <w:rFonts w:hint="eastAsia" w:ascii="Times New Roman" w:hAnsi="Times New Roman" w:eastAsia="黑体"/>
                <w:sz w:val="24"/>
                <w:szCs w:val="24"/>
                <w:highlight w:val="none"/>
                <w:lang w:eastAsia="zh-CN"/>
              </w:rPr>
              <w:t>企业名称</w:t>
            </w:r>
          </w:p>
        </w:tc>
        <w:tc>
          <w:tcPr>
            <w:tcW w:w="7135" w:type="dxa"/>
            <w:vAlign w:val="center"/>
          </w:tcPr>
          <w:p>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北京华夏兴洋生物科技有限公司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联系人及</w:t>
            </w:r>
          </w:p>
          <w:p>
            <w:pPr>
              <w:jc w:val="center"/>
              <w:rPr>
                <w:rFonts w:ascii="黑体" w:hAnsi="黑体" w:eastAsia="黑体" w:cs="黑体"/>
                <w:sz w:val="24"/>
                <w:szCs w:val="24"/>
              </w:rPr>
            </w:pPr>
            <w:r>
              <w:rPr>
                <w:rFonts w:hint="eastAsia" w:ascii="黑体" w:hAnsi="黑体" w:eastAsia="黑体" w:cs="黑体"/>
                <w:sz w:val="24"/>
                <w:szCs w:val="24"/>
              </w:rPr>
              <w:t>联系电话</w:t>
            </w:r>
          </w:p>
        </w:tc>
        <w:tc>
          <w:tcPr>
            <w:tcW w:w="7135" w:type="dxa"/>
            <w:vAlign w:val="center"/>
          </w:tcPr>
          <w:p>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马培倩  18911292817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项目周期</w:t>
            </w:r>
          </w:p>
        </w:tc>
        <w:tc>
          <w:tcPr>
            <w:tcW w:w="7135" w:type="dxa"/>
            <w:vAlign w:val="center"/>
          </w:tcPr>
          <w:p>
            <w:pPr>
              <w:spacing w:line="360" w:lineRule="auto"/>
              <w:ind w:firstLine="480" w:firstLineChars="200"/>
              <w:jc w:val="center"/>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highlight w:val="none"/>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企业出资金额</w:t>
            </w:r>
          </w:p>
        </w:tc>
        <w:tc>
          <w:tcPr>
            <w:tcW w:w="7135" w:type="dxa"/>
            <w:vAlign w:val="center"/>
          </w:tcPr>
          <w:p>
            <w:pPr>
              <w:spacing w:line="360" w:lineRule="auto"/>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需求背景</w:t>
            </w:r>
          </w:p>
        </w:tc>
        <w:tc>
          <w:tcPr>
            <w:tcW w:w="7135" w:type="dxa"/>
            <w:vAlign w:val="center"/>
          </w:tcPr>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禽流感的广泛流行和鸡传染性法氏囊病、马立克氏病等免疫抑制病的存在，以及传统灭活疫苗免疫操作中存在的高人工成本问题，严重制约家禽产业的健康可持续发展。火鸡疱疹病毒活载体疫苗已广泛应用，但也面临几大技术痛点：对超强流行马立克氏病防控较弱；外源基因插入影响载体免疫原性和复制效率；多个外源基因基因表达存在干扰。当前技术存在显著局限，国际和国内尚无以马立克氏病病毒1型为载体的疫苗实际应用案例，更无表达禽流感病毒、鸡传染性法氏囊病病毒的马立克氏病病毒Ⅰ型活载体疫苗产品。现有疫苗仍依赖传统灭活苗或单一病原疫苗，存在免疫成本高、人工依赖性强、多病联防效果差等问题，严重制约家禽疫病防控效率与产业规模化发展。突破马立克氏病病毒Ⅰ型活载体疫苗的多联基因表达与高效免疫技术，是实现家禽疫病防控技术升级与产业突破的关键所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6"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项目目标</w:t>
            </w:r>
          </w:p>
        </w:tc>
        <w:tc>
          <w:tcPr>
            <w:tcW w:w="7135" w:type="dxa"/>
            <w:vAlign w:val="center"/>
          </w:tcPr>
          <w:p>
            <w:pPr>
              <w:pStyle w:val="19"/>
              <w:numPr>
                <w:ilvl w:val="0"/>
                <w:numId w:val="0"/>
              </w:numPr>
              <w:tabs>
                <w:tab w:val="left" w:pos="312"/>
              </w:tabs>
              <w:spacing w:line="360" w:lineRule="auto"/>
              <w:ind w:leftChars="23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rPr>
              <w:t>开发多价重组活疫苗</w:t>
            </w:r>
          </w:p>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构建以马立克氏病病毒（MDV）Ⅰ型弱毒株为载体，同时表达H9亚型禽流感病毒（AIV）保护性抗原和鸡传染性法氏囊病病毒（IBDV）保护性抗原的重组病毒。通过单次免疫，实现“一针三防”，解决传统疫苗需多次接种、母源抗体干扰及免疫抑制问题。</w:t>
            </w:r>
          </w:p>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构建以马立克氏病病毒（MDV）Ⅰ型弱毒株为载体，同时表达H5亚型和H7亚型禽流感病毒（AIV）保护性抗原的重组病毒。通过单次免疫，实现“一针三防”，解决传统疫苗需多次接种、母源抗体干扰及免疫抑制问题。</w:t>
            </w:r>
          </w:p>
          <w:p>
            <w:pPr>
              <w:pStyle w:val="19"/>
              <w:numPr>
                <w:ilvl w:val="0"/>
                <w:numId w:val="0"/>
              </w:numPr>
              <w:tabs>
                <w:tab w:val="left" w:pos="312"/>
              </w:tabs>
              <w:spacing w:line="360" w:lineRule="auto"/>
              <w:ind w:left="432" w:leftChars="206" w:firstLine="69" w:firstLineChars="29"/>
              <w:jc w:val="left"/>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保证疫苗安全性、有效性与稳定性</w:t>
            </w:r>
          </w:p>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（1）安全性满足国家标准或其它要求。</w:t>
            </w:r>
          </w:p>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（2）通过攻毒保护或抗体检测验证有效性，满足国家标准或其它要求。</w:t>
            </w:r>
          </w:p>
          <w:p>
            <w:p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rPr>
              <w:t>（3）确保重组病毒在鸡胚成纤维细胞（CEF）中连续传代≥20代后外源基因无丢失、变异，病毒滴度维持在一定水平。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考核指标</w:t>
            </w:r>
          </w:p>
        </w:tc>
        <w:tc>
          <w:tcPr>
            <w:tcW w:w="7135" w:type="dxa"/>
            <w:vAlign w:val="center"/>
          </w:tcPr>
          <w:p>
            <w:pPr>
              <w:tabs>
                <w:tab w:val="left" w:pos="312"/>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
              </w:rPr>
              <w:t>构建出</w:t>
            </w:r>
            <w:r>
              <w:rPr>
                <w:rFonts w:hint="eastAsia" w:asciiTheme="minorEastAsia" w:hAnsiTheme="minorEastAsia" w:eastAsiaTheme="minorEastAsia" w:cstheme="minorEastAsia"/>
                <w:sz w:val="24"/>
                <w:szCs w:val="24"/>
              </w:rPr>
              <w:t>同时表达H9亚型禽流感病毒（AIV）保护性抗原和鸡传染性法氏囊病病毒（IBDV）保护性抗原的马立克氏病毒Ⅰ型疫苗重组病毒，按照兽药典要求无菌检验、外源病毒检验均合格，种毒滴度不低于10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p>
            <w:pPr>
              <w:pStyle w:val="3"/>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构建出同时表达H5亚型和H7亚型禽流感病毒（AIV）保护性抗原的的马立克氏病毒Ⅰ型重组病毒，按照兽药典要求无菌检验、外源病毒检验均合格，种毒滴度不低于10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p>
            <w:pPr>
              <w:pStyle w:val="4"/>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两种重组病毒对1日龄SPF鸡和18-19日龄鸡胚安全性满足国家标准或其它要求，即：按照兽药典要求进行1日龄SPF鸡和18日龄鸡胚安全性试验，观察结束后，非特异性死亡不得超过2 只，剖检所有存活鸡，观察各组织和脏器病变，取卵巢或睾丸、肾脏、脾脏、肝脏、心脏、肺、法氏囊、腺胃和坐骨神经等组织，进行组织病理学检查。应无马立克氏病临床症状和特异性死亡，剖检应无肉眼可见变化和组织病理学变化。</w:t>
            </w:r>
          </w:p>
          <w:p>
            <w:pPr>
              <w:pStyle w:val="4"/>
              <w:spacing w:after="0" w:line="360" w:lineRule="auto"/>
              <w:ind w:firstLine="480" w:firstLineChars="200"/>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表达H9亚型禽流感病毒（AIV）保护性抗原和鸡传染性法氏囊病病毒（IBDV）保护性抗原的马立克氏病毒Ⅰ型疫苗重组病毒</w:t>
            </w:r>
            <w:r>
              <w:rPr>
                <w:rFonts w:hint="eastAsia" w:asciiTheme="minorEastAsia" w:hAnsiTheme="minorEastAsia" w:eastAsiaTheme="minorEastAsia" w:cstheme="minorEastAsia"/>
                <w:sz w:val="24"/>
                <w:szCs w:val="24"/>
                <w:lang w:val="en"/>
              </w:rPr>
              <w:t>对马立克氏病、H9亚型禽流感和鸡传染性法氏囊病的攻毒保护满足国家标准</w:t>
            </w:r>
            <w:r>
              <w:rPr>
                <w:rFonts w:hint="eastAsia" w:asciiTheme="minorEastAsia" w:hAnsiTheme="minorEastAsia" w:eastAsiaTheme="minorEastAsia" w:cstheme="minorEastAsia"/>
                <w:sz w:val="24"/>
                <w:szCs w:val="24"/>
              </w:rPr>
              <w:t>或其它要求</w:t>
            </w:r>
            <w:r>
              <w:rPr>
                <w:rFonts w:hint="eastAsia" w:asciiTheme="minorEastAsia" w:hAnsiTheme="minorEastAsia" w:eastAsiaTheme="minorEastAsia" w:cstheme="minorEastAsia"/>
                <w:sz w:val="24"/>
                <w:szCs w:val="24"/>
                <w:lang w:val="en"/>
              </w:rPr>
              <w:t>，即：对马立克氏病的相对保护率应至少80%，对H9亚型禽流感攻毒保护率应至少90%，对鸡传染性法氏囊病攻毒保护率应至少80%。</w:t>
            </w:r>
          </w:p>
          <w:p>
            <w:pPr>
              <w:pStyle w:val="4"/>
              <w:spacing w:after="0" w:line="360" w:lineRule="auto"/>
              <w:ind w:firstLine="480" w:firstLineChars="200"/>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表达H5亚型和H7亚型禽流感病毒（AIV）保护性抗原的的马立克氏病毒Ⅰ型重组病毒对</w:t>
            </w:r>
            <w:r>
              <w:rPr>
                <w:rFonts w:hint="eastAsia" w:asciiTheme="minorEastAsia" w:hAnsiTheme="minorEastAsia" w:eastAsiaTheme="minorEastAsia" w:cstheme="minorEastAsia"/>
                <w:sz w:val="24"/>
                <w:szCs w:val="24"/>
                <w:lang w:val="en"/>
              </w:rPr>
              <w:t>马立克氏病、H5亚型禽流感和H7亚型禽流感</w:t>
            </w:r>
            <w:r>
              <w:rPr>
                <w:rFonts w:hint="eastAsia" w:asciiTheme="minorEastAsia" w:hAnsiTheme="minorEastAsia" w:eastAsiaTheme="minorEastAsia" w:cstheme="minorEastAsia"/>
                <w:sz w:val="24"/>
                <w:szCs w:val="24"/>
              </w:rPr>
              <w:t>的攻毒保护或抗体效价满足国家标准或其它要求，</w:t>
            </w:r>
            <w:r>
              <w:rPr>
                <w:rFonts w:hint="eastAsia" w:asciiTheme="minorEastAsia" w:hAnsiTheme="minorEastAsia" w:eastAsiaTheme="minorEastAsia" w:cstheme="minorEastAsia"/>
                <w:sz w:val="24"/>
                <w:szCs w:val="24"/>
                <w:lang w:val="en"/>
              </w:rPr>
              <w:t>即：对马立克氏病的相对保护率应至少80%，对H5亚型禽流感的攻毒保护率达100%或HI抗体均值不低于1:16，对H7亚型禽流感的攻毒保护率达100%或HI抗体均值不低于1:16</w:t>
            </w:r>
            <w:r>
              <w:rPr>
                <w:rFonts w:hint="eastAsia" w:asciiTheme="minorEastAsia" w:hAnsiTheme="minorEastAsia" w:eastAsiaTheme="minorEastAsia" w:cstheme="minorEastAsia"/>
                <w:sz w:val="24"/>
                <w:szCs w:val="24"/>
              </w:rPr>
              <w:t>。</w:t>
            </w:r>
          </w:p>
          <w:p>
            <w:pPr>
              <w:pStyle w:val="3"/>
              <w:spacing w:after="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两种重组病毒的稳定性应满足：在鸡胚成纤维细胞（CEF）中连续传代≥20代后外源基因无丢失、变异，病毒滴度不低于10</w:t>
            </w:r>
            <w:r>
              <w:rPr>
                <w:rFonts w:hint="eastAsia" w:asciiTheme="minorEastAsia" w:hAnsiTheme="minorEastAsia" w:eastAsiaTheme="minorEastAsia" w:cstheme="minorEastAsia"/>
                <w:sz w:val="24"/>
                <w:szCs w:val="24"/>
                <w:vertAlign w:val="superscript"/>
              </w:rPr>
              <w:t>5</w:t>
            </w:r>
            <w:r>
              <w:rPr>
                <w:rFonts w:hint="eastAsia" w:asciiTheme="minorEastAsia" w:hAnsiTheme="minorEastAsia" w:eastAsiaTheme="minorEastAsia" w:cstheme="minorEastAsia"/>
                <w:sz w:val="24"/>
                <w:szCs w:val="24"/>
              </w:rPr>
              <w:t>pfu/ml。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对揭榜方要求</w:t>
            </w:r>
          </w:p>
        </w:tc>
        <w:tc>
          <w:tcPr>
            <w:tcW w:w="7135" w:type="dxa"/>
            <w:vAlign w:val="center"/>
          </w:tcPr>
          <w:p>
            <w:pPr>
              <w:numPr>
                <w:ilvl w:val="0"/>
                <w:numId w:val="0"/>
              </w:numPr>
              <w:spacing w:line="360" w:lineRule="auto"/>
              <w:ind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具有马立克氏病疫苗研究方面的工作积累和成果。</w:t>
            </w:r>
          </w:p>
          <w:p>
            <w:pPr>
              <w:numPr>
                <w:ilvl w:val="0"/>
                <w:numId w:val="0"/>
              </w:numPr>
              <w:spacing w:line="360" w:lineRule="auto"/>
              <w:ind w:left="0" w:leftChars="0"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获得过国家新兽药注册证书或科技奖励及相关发明专利。</w:t>
            </w:r>
          </w:p>
          <w:p>
            <w:pPr>
              <w:numPr>
                <w:ilvl w:val="0"/>
                <w:numId w:val="0"/>
              </w:numPr>
              <w:spacing w:line="360" w:lineRule="auto"/>
              <w:ind w:left="0" w:leftChars="0" w:firstLine="480" w:firstLineChars="200"/>
              <w:rPr>
                <w:rStyle w:val="20"/>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具有明晰的马立克病毒载体相关的知识产权，可直接用于本项目的产业化开发及新兽药产品注册申报，无法律风险。</w:t>
            </w:r>
          </w:p>
          <w:p>
            <w:pPr>
              <w:numPr>
                <w:ilvl w:val="0"/>
                <w:numId w:val="0"/>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highlight w:val="none"/>
                <w:lang w:val="en-US" w:eastAsia="zh-CN"/>
              </w:rPr>
              <w:t>.</w:t>
            </w:r>
            <w:r>
              <w:rPr>
                <w:rStyle w:val="20"/>
                <w:rFonts w:hint="eastAsia" w:asciiTheme="minorEastAsia" w:hAnsiTheme="minorEastAsia" w:eastAsiaTheme="minorEastAsia" w:cstheme="minorEastAsia"/>
                <w:sz w:val="24"/>
                <w:szCs w:val="24"/>
              </w:rPr>
              <w:t>具有与项目研发相匹配的人员和适应项目完成的基础条件。</w:t>
            </w:r>
          </w:p>
        </w:tc>
      </w:tr>
    </w:tbl>
    <w:p/>
    <w:p>
      <w:pPr>
        <w:pStyle w:val="3"/>
      </w:pPr>
    </w:p>
    <w:p>
      <w:pPr>
        <w:pStyle w:val="4"/>
      </w:pPr>
    </w:p>
    <w:p>
      <w:pPr>
        <w:pStyle w:val="4"/>
      </w:pPr>
    </w:p>
    <w:p>
      <w:r>
        <w:br w:type="page"/>
      </w:r>
    </w:p>
    <w:tbl>
      <w:tblPr>
        <w:tblStyle w:val="10"/>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hint="eastAsia" w:ascii="Times New Roman" w:hAnsi="Times New Roman" w:eastAsia="黑体"/>
                <w:sz w:val="24"/>
                <w:szCs w:val="24"/>
                <w:lang w:eastAsia="zh-CN"/>
              </w:rPr>
            </w:pPr>
            <w:r>
              <w:rPr>
                <w:rFonts w:ascii="Times New Roman" w:hAnsi="Times New Roman" w:eastAsia="黑体"/>
                <w:sz w:val="24"/>
                <w:szCs w:val="24"/>
              </w:rPr>
              <w:t>需求项目</w:t>
            </w:r>
            <w:r>
              <w:rPr>
                <w:rFonts w:hint="eastAsia" w:ascii="Times New Roman" w:hAnsi="Times New Roman" w:eastAsia="黑体"/>
                <w:sz w:val="24"/>
                <w:szCs w:val="24"/>
                <w:lang w:eastAsia="zh-CN"/>
              </w:rPr>
              <w:t>（二）</w:t>
            </w:r>
          </w:p>
        </w:tc>
        <w:tc>
          <w:tcPr>
            <w:tcW w:w="700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观赏鱼开口活饵产业化生产技术及装备研发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highlight w:val="none"/>
                <w:lang w:eastAsia="zh-CN"/>
              </w:rPr>
              <w:t>企业名称</w:t>
            </w:r>
          </w:p>
        </w:tc>
        <w:tc>
          <w:tcPr>
            <w:tcW w:w="700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北京九鱼种业有限公司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05" w:type="dxa"/>
            <w:vAlign w:val="center"/>
          </w:tcPr>
          <w:p>
            <w:pPr>
              <w:jc w:val="center"/>
              <w:rPr>
                <w:rFonts w:hint="eastAsia" w:ascii="Times New Roman" w:hAnsi="Times New Roman" w:eastAsia="黑体"/>
                <w:sz w:val="24"/>
                <w:szCs w:val="24"/>
              </w:rPr>
            </w:pPr>
            <w:r>
              <w:rPr>
                <w:rFonts w:hint="eastAsia" w:ascii="Times New Roman" w:hAnsi="Times New Roman" w:eastAsia="黑体"/>
                <w:sz w:val="24"/>
                <w:szCs w:val="24"/>
              </w:rPr>
              <w:t>联系人及</w:t>
            </w:r>
          </w:p>
          <w:p>
            <w:pPr>
              <w:jc w:val="center"/>
              <w:rPr>
                <w:rFonts w:ascii="Times New Roman" w:hAnsi="Times New Roman" w:eastAsia="黑体"/>
                <w:sz w:val="24"/>
                <w:szCs w:val="24"/>
              </w:rPr>
            </w:pPr>
            <w:r>
              <w:rPr>
                <w:rFonts w:hint="eastAsia" w:ascii="Times New Roman" w:hAnsi="Times New Roman" w:eastAsia="黑体"/>
                <w:sz w:val="24"/>
                <w:szCs w:val="24"/>
              </w:rPr>
              <w:t>联系电话</w:t>
            </w:r>
          </w:p>
        </w:tc>
        <w:tc>
          <w:tcPr>
            <w:tcW w:w="700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黄昊 13260312660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05"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rPr>
              <w:t>项目周期</w:t>
            </w:r>
          </w:p>
        </w:tc>
        <w:tc>
          <w:tcPr>
            <w:tcW w:w="700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05" w:type="dxa"/>
            <w:vAlign w:val="center"/>
          </w:tcPr>
          <w:p>
            <w:pPr>
              <w:jc w:val="center"/>
              <w:rPr>
                <w:rFonts w:ascii="Times New Roman" w:hAnsi="Times New Roman" w:eastAsia="黑体"/>
                <w:sz w:val="24"/>
                <w:szCs w:val="24"/>
              </w:rPr>
            </w:pPr>
            <w:r>
              <w:rPr>
                <w:rFonts w:hint="eastAsia" w:ascii="Times New Roman" w:hAnsi="Times New Roman" w:eastAsia="黑体"/>
                <w:sz w:val="24"/>
                <w:szCs w:val="24"/>
              </w:rPr>
              <w:t>企业出资金额</w:t>
            </w:r>
          </w:p>
        </w:tc>
        <w:tc>
          <w:tcPr>
            <w:tcW w:w="700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w:t>
            </w:r>
            <w:r>
              <w:rPr>
                <w:rFonts w:hint="eastAsia" w:asciiTheme="minorEastAsia" w:hAnsiTheme="minorEastAsia" w:eastAsiaTheme="minorEastAsia" w:cstheme="minorEastAsia"/>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jc w:val="center"/>
              <w:rPr>
                <w:rFonts w:ascii="Times New Roman" w:hAnsi="Times New Roman" w:eastAsia="黑体"/>
                <w:sz w:val="24"/>
                <w:szCs w:val="24"/>
              </w:rPr>
            </w:pPr>
            <w:r>
              <w:rPr>
                <w:rFonts w:ascii="Times New Roman" w:hAnsi="Times New Roman" w:eastAsia="黑体"/>
                <w:sz w:val="24"/>
                <w:szCs w:val="24"/>
              </w:rPr>
              <w:t>需求背景</w:t>
            </w:r>
          </w:p>
        </w:tc>
        <w:tc>
          <w:tcPr>
            <w:tcW w:w="7007" w:type="dxa"/>
            <w:vAlign w:val="center"/>
          </w:tcPr>
          <w:p>
            <w:pPr>
              <w:pStyle w:val="19"/>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2021年北京市水产种质资源普查，观赏鱼（锦鲤、金鱼、草金鱼）为主的养殖场共229户，养殖面积为7288.53亩。特别是北京地区年产宫廷金鱼苗种约为1.5亿尾，占全国金鱼产量的三分之一。鱼苗开口期有没有合适的开口饵料，直接影响着鱼苗的成活率和生长速度，也成为影响北京观赏鱼产业发展的重要因素。轮虫因其营养均衡且有净水作用，是金鱼、锦鲤等观赏鱼最好的开口饵料，目前一般采用野捕或外地购买的方法获取，但北京地区因环境治理水质变好，因此很难在天然水域中捕到；异地捕捞或购买，又因活饵的离水存活时间短，存在季节性强、易污染、成本高、数量少、难维持等问题，数量、质量和品质都难以保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开口期适口饵料的缺乏，①会导致鱼苗生长规格不齐，特别是单尾或少尾的淘汰金鱼苗会因游动和抢食能力强而蚕食活动能力弱的多尾优质鱼苗，从而导致宫廷金鱼优质鱼苗的存活率在养殖初期就大幅减少；②人工饲料或蛋黄豆浆等活饵替代品容易污染水体，鱼苗生长缓慢，不仅增加管理难度和养殖风险还使得鱼苗成品率降低。严重威胁到北京地区观赏鱼保种和育种工作的正常开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观赏鱼开口活饵的产业化生产技术及装备研发，可通过“可控、安全、高效、可持续”的模式，解决水产养殖中的鱼苗开口期饵料缺乏的产业痛点。为现代水产精细化标准化养殖奠定基础。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705" w:type="dxa"/>
            <w:vAlign w:val="center"/>
          </w:tcPr>
          <w:p>
            <w:pPr>
              <w:jc w:val="center"/>
              <w:rPr>
                <w:rFonts w:ascii="Times New Roman" w:hAnsi="Times New Roman" w:eastAsia="黑体"/>
                <w:sz w:val="24"/>
                <w:szCs w:val="24"/>
              </w:rPr>
            </w:pPr>
            <w:r>
              <w:rPr>
                <w:rFonts w:hint="eastAsia" w:ascii="黑体" w:hAnsi="黑体" w:eastAsia="黑体" w:cs="黑体"/>
                <w:sz w:val="24"/>
                <w:szCs w:val="24"/>
              </w:rPr>
              <w:t>项目目标</w:t>
            </w:r>
          </w:p>
        </w:tc>
        <w:tc>
          <w:tcPr>
            <w:tcW w:w="7007" w:type="dxa"/>
            <w:vAlign w:val="center"/>
          </w:tcPr>
          <w:p>
            <w:pPr>
              <w:pStyle w:val="4"/>
              <w:spacing w:after="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观赏鱼开口活饵人工扩培产业化生产技术开发和设备优化：</w:t>
            </w:r>
          </w:p>
          <w:p>
            <w:pPr>
              <w:pStyle w:val="4"/>
              <w:numPr>
                <w:ilvl w:val="0"/>
                <w:numId w:val="0"/>
              </w:numPr>
              <w:spacing w:after="0" w:line="360" w:lineRule="auto"/>
              <w:ind w:firstLine="480" w:firstLineChars="200"/>
              <w:rPr>
                <w:rFonts w:hint="eastAsia" w:asciiTheme="minorEastAsia" w:hAnsiTheme="minorEastAsia" w:eastAsiaTheme="minorEastAsia" w:cstheme="minorEastAsia"/>
                <w:sz w:val="24"/>
              </w:rPr>
            </w:pPr>
            <w:bookmarkStart w:id="0" w:name="OLE_LINK3"/>
            <w:bookmarkStart w:id="1" w:name="OLE_LINK4"/>
            <w:r>
              <w:rPr>
                <w:rFonts w:hint="eastAsia" w:asciiTheme="minorEastAsia" w:hAnsiTheme="minorEastAsia" w:eastAsiaTheme="minorEastAsia" w:cstheme="minorEastAsia"/>
                <w:kern w:val="2"/>
                <w:sz w:val="24"/>
                <w:szCs w:val="22"/>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通过控温、控光等技术可实现全年连续产出，摆脱传统野外捕捞的季节限制，满足养殖和育种需求，保障观赏鱼苗种，特别是宫廷金鱼苗种的优质饵料供应。</w:t>
            </w:r>
          </w:p>
          <w:p>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人工扩培产业化生产的开口活饵，相对野外捕捞，可以减少寄生虫、细菌、病毒病等疾病的传播，降低养殖成本与养殖风险。</w:t>
            </w:r>
          </w:p>
          <w:p>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通过精准调控养殖环境及饲养活饵的配方，确保活饵营养成分稳定，也可根据配方调整定向培育特定品种特定营养的活饵，有利于推动水产养殖业的标准化发展。</w:t>
            </w:r>
          </w:p>
          <w:p>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2"/>
                <w:lang w:val="en-US" w:eastAsia="zh-CN" w:bidi="ar-SA"/>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带动上下游产业（如养殖设备制造、饵料加工、物流运输），形成“生产-销售-服务”一体化模式，尤其在水产养殖集中区域，可成为乡村振兴的特色产业，创造新的经济增长点与就业机会。</w:t>
            </w:r>
          </w:p>
          <w:p>
            <w:pPr>
              <w:pStyle w:val="4"/>
              <w:numPr>
                <w:ilvl w:val="0"/>
                <w:numId w:val="0"/>
              </w:numPr>
              <w:spacing w:after="0" w:line="360" w:lineRule="auto"/>
              <w:ind w:left="0" w:leftChars="0" w:firstLine="480" w:firstLineChars="200"/>
              <w:rPr>
                <w:rFonts w:hint="eastAsia" w:asciiTheme="minorEastAsia" w:hAnsiTheme="minorEastAsia" w:eastAsiaTheme="minorEastAsia" w:cstheme="minorEastAsia"/>
                <w:sz w:val="24"/>
                <w:lang w:val="en"/>
              </w:rPr>
            </w:pPr>
            <w:r>
              <w:rPr>
                <w:rFonts w:hint="eastAsia" w:asciiTheme="minorEastAsia" w:hAnsiTheme="minorEastAsia" w:eastAsiaTheme="minorEastAsia" w:cstheme="minorEastAsia"/>
                <w:kern w:val="2"/>
                <w:sz w:val="24"/>
                <w:szCs w:val="22"/>
                <w:lang w:val="en" w:eastAsia="zh-CN" w:bidi="ar-SA"/>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rPr>
              <w:t>产业化产品不仅局限于金鱼苗种生产，也可适用于绝大多数食用鱼和热带观赏鱼开口，产品市场前景广阔。</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考核指标</w:t>
            </w:r>
          </w:p>
        </w:tc>
        <w:tc>
          <w:tcPr>
            <w:tcW w:w="7007" w:type="dxa"/>
            <w:vAlign w:val="center"/>
          </w:tcPr>
          <w:p>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bookmarkStart w:id="2" w:name="OLE_LINK6"/>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开发出1套能显著提高操作精准度和减少人工的智慧化养殖设备；</w:t>
            </w:r>
          </w:p>
          <w:p>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确保开口活饵的产量稳定达1.5×10⁸个轮虫/m³水体；单日可收获2.3×10</w:t>
            </w:r>
            <w:r>
              <w:rPr>
                <w:rFonts w:hint="eastAsia" w:asciiTheme="minorEastAsia" w:hAnsiTheme="minorEastAsia" w:eastAsiaTheme="minorEastAsia" w:cstheme="minorEastAsia"/>
                <w:sz w:val="24"/>
                <w:szCs w:val="24"/>
                <w:vertAlign w:val="superscript"/>
              </w:rPr>
              <w:t>10</w:t>
            </w:r>
            <w:r>
              <w:rPr>
                <w:rFonts w:hint="eastAsia" w:asciiTheme="minorEastAsia" w:hAnsiTheme="minorEastAsia" w:eastAsiaTheme="minorEastAsia" w:cstheme="minorEastAsia"/>
                <w:sz w:val="24"/>
                <w:szCs w:val="24"/>
              </w:rPr>
              <w:t>个轮虫，以满足每天150万尾鱼苗的开口需求；</w:t>
            </w:r>
          </w:p>
          <w:p>
            <w:pPr>
              <w:pStyle w:val="19"/>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rPr>
              <w:t>制定出适合人工扩培开口活饵产业化的生产工艺操作流程，使操作流程化、标准化，具有可重复性。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1705" w:type="dxa"/>
            <w:vAlign w:val="center"/>
          </w:tcPr>
          <w:p>
            <w:pPr>
              <w:jc w:val="center"/>
              <w:rPr>
                <w:rFonts w:ascii="黑体" w:hAnsi="黑体" w:eastAsia="黑体" w:cs="黑体"/>
                <w:sz w:val="24"/>
                <w:szCs w:val="24"/>
              </w:rPr>
            </w:pPr>
            <w:r>
              <w:rPr>
                <w:rFonts w:hint="eastAsia" w:ascii="黑体" w:hAnsi="黑体" w:eastAsia="黑体" w:cs="黑体"/>
                <w:sz w:val="24"/>
                <w:szCs w:val="24"/>
              </w:rPr>
              <w:t>对揭榜方要求</w:t>
            </w:r>
          </w:p>
        </w:tc>
        <w:tc>
          <w:tcPr>
            <w:tcW w:w="7007" w:type="dxa"/>
            <w:vAlign w:val="center"/>
          </w:tcPr>
          <w:p>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
              </w:rPr>
              <w:t>揭榜方具有雄厚的研究实力和熟悉相关领域的专家，对产业需求和生产实际有深入了解，有现成的技术或技术基础，优先考虑从事过相关的研究项目的研究单位。</w:t>
            </w:r>
          </w:p>
          <w:p>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
              </w:rPr>
              <w:t>知识产权归属双方沟通确定。</w:t>
            </w:r>
          </w:p>
          <w:p>
            <w:pPr>
              <w:numPr>
                <w:ilvl w:val="0"/>
                <w:numId w:val="0"/>
              </w:numPr>
              <w:tabs>
                <w:tab w:val="left" w:pos="312"/>
              </w:tabs>
              <w:spacing w:line="360" w:lineRule="auto"/>
              <w:ind w:firstLine="480" w:firstLineChars="200"/>
              <w:jc w:val="left"/>
              <w:rPr>
                <w:rFonts w:hint="eastAsia" w:asciiTheme="minorEastAsia" w:hAnsiTheme="minorEastAsia" w:eastAsiaTheme="minorEastAsia" w:cstheme="minorEastAsia"/>
                <w:sz w:val="24"/>
                <w:szCs w:val="24"/>
                <w:lang w:val="e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
              </w:rPr>
              <w:t>利益分配由需求方和揭榜方本着共同开发、友好合作、可持续发展的原则协商后，签订合作协议。</w:t>
            </w:r>
          </w:p>
        </w:tc>
      </w:tr>
    </w:tbl>
    <w:p>
      <w:pPr>
        <w:pStyle w:val="4"/>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AR PL UKai CN">
    <w:panose1 w:val="02000503000000000000"/>
    <w:charset w:val="86"/>
    <w:family w:val="auto"/>
    <w:pitch w:val="default"/>
    <w:sig w:usb0="A00002FF" w:usb1="3ACFFDFF" w:usb2="00000036" w:usb3="00000000" w:csb0="2016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D1D4D"/>
    <w:rsid w:val="00071737"/>
    <w:rsid w:val="000C7B46"/>
    <w:rsid w:val="00152E4E"/>
    <w:rsid w:val="001B4FC0"/>
    <w:rsid w:val="002A00DF"/>
    <w:rsid w:val="002C138F"/>
    <w:rsid w:val="00303F39"/>
    <w:rsid w:val="00350F17"/>
    <w:rsid w:val="003C077F"/>
    <w:rsid w:val="00441409"/>
    <w:rsid w:val="0068357F"/>
    <w:rsid w:val="007522BF"/>
    <w:rsid w:val="00973F0F"/>
    <w:rsid w:val="00A1197A"/>
    <w:rsid w:val="00B3055D"/>
    <w:rsid w:val="00BA1DE9"/>
    <w:rsid w:val="00C20F8B"/>
    <w:rsid w:val="00D461F1"/>
    <w:rsid w:val="00D6736B"/>
    <w:rsid w:val="00D816A6"/>
    <w:rsid w:val="00DD1D4D"/>
    <w:rsid w:val="00EE453C"/>
    <w:rsid w:val="01A30E5C"/>
    <w:rsid w:val="01FB1EC9"/>
    <w:rsid w:val="03204429"/>
    <w:rsid w:val="06052E78"/>
    <w:rsid w:val="0BF55C20"/>
    <w:rsid w:val="0C3D5FA9"/>
    <w:rsid w:val="0DD26630"/>
    <w:rsid w:val="10BA3372"/>
    <w:rsid w:val="122B712F"/>
    <w:rsid w:val="20366A55"/>
    <w:rsid w:val="20586E69"/>
    <w:rsid w:val="23194618"/>
    <w:rsid w:val="25EF1FF1"/>
    <w:rsid w:val="26F471BF"/>
    <w:rsid w:val="2C45582A"/>
    <w:rsid w:val="2FD52DAF"/>
    <w:rsid w:val="31886E82"/>
    <w:rsid w:val="3FE66D43"/>
    <w:rsid w:val="3FEE6892"/>
    <w:rsid w:val="418807D8"/>
    <w:rsid w:val="441C404D"/>
    <w:rsid w:val="45F57156"/>
    <w:rsid w:val="4CB16E35"/>
    <w:rsid w:val="528A14C9"/>
    <w:rsid w:val="53796E10"/>
    <w:rsid w:val="58823B6C"/>
    <w:rsid w:val="601014F0"/>
    <w:rsid w:val="69E17673"/>
    <w:rsid w:val="713A57CE"/>
    <w:rsid w:val="736D5083"/>
    <w:rsid w:val="76DD7650"/>
    <w:rsid w:val="792059E4"/>
    <w:rsid w:val="7B017856"/>
    <w:rsid w:val="7D297C3A"/>
    <w:rsid w:val="7E255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next w:val="4"/>
    <w:qFormat/>
    <w:uiPriority w:val="0"/>
    <w:pPr>
      <w:spacing w:after="140" w:line="276" w:lineRule="auto"/>
    </w:pPr>
  </w:style>
  <w:style w:type="paragraph" w:styleId="4">
    <w:name w:val="Body Text 2"/>
    <w:basedOn w:val="1"/>
    <w:unhideWhenUsed/>
    <w:qFormat/>
    <w:uiPriority w:val="99"/>
    <w:pPr>
      <w:spacing w:after="120" w:line="480" w:lineRule="auto"/>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2"/>
    <w:next w:val="2"/>
    <w:link w:val="16"/>
    <w:qFormat/>
    <w:uiPriority w:val="0"/>
    <w:rPr>
      <w:b/>
      <w:bCs/>
    </w:rPr>
  </w:style>
  <w:style w:type="character" w:styleId="12">
    <w:name w:val="annotation reference"/>
    <w:basedOn w:val="11"/>
    <w:qFormat/>
    <w:uiPriority w:val="0"/>
    <w:rPr>
      <w:sz w:val="21"/>
      <w:szCs w:val="21"/>
    </w:rPr>
  </w:style>
  <w:style w:type="character" w:customStyle="1" w:styleId="13">
    <w:name w:val="页眉 Char"/>
    <w:basedOn w:val="11"/>
    <w:link w:val="7"/>
    <w:qFormat/>
    <w:uiPriority w:val="0"/>
    <w:rPr>
      <w:rFonts w:ascii="等线" w:hAnsi="等线" w:eastAsia="等线"/>
      <w:kern w:val="2"/>
      <w:sz w:val="18"/>
      <w:szCs w:val="18"/>
    </w:rPr>
  </w:style>
  <w:style w:type="character" w:customStyle="1" w:styleId="14">
    <w:name w:val="页脚 Char"/>
    <w:basedOn w:val="11"/>
    <w:link w:val="6"/>
    <w:qFormat/>
    <w:uiPriority w:val="0"/>
    <w:rPr>
      <w:rFonts w:ascii="等线" w:hAnsi="等线" w:eastAsia="等线"/>
      <w:kern w:val="2"/>
      <w:sz w:val="18"/>
      <w:szCs w:val="18"/>
    </w:rPr>
  </w:style>
  <w:style w:type="character" w:customStyle="1" w:styleId="15">
    <w:name w:val="批注文字 Char"/>
    <w:basedOn w:val="11"/>
    <w:link w:val="2"/>
    <w:qFormat/>
    <w:uiPriority w:val="0"/>
    <w:rPr>
      <w:rFonts w:ascii="等线" w:hAnsi="等线" w:eastAsia="等线"/>
      <w:kern w:val="2"/>
      <w:sz w:val="21"/>
      <w:szCs w:val="22"/>
    </w:rPr>
  </w:style>
  <w:style w:type="character" w:customStyle="1" w:styleId="16">
    <w:name w:val="批注主题 Char"/>
    <w:basedOn w:val="15"/>
    <w:link w:val="9"/>
    <w:qFormat/>
    <w:uiPriority w:val="0"/>
    <w:rPr>
      <w:b/>
      <w:bCs/>
    </w:rPr>
  </w:style>
  <w:style w:type="character" w:customStyle="1" w:styleId="17">
    <w:name w:val="批注框文本 Char"/>
    <w:basedOn w:val="11"/>
    <w:link w:val="5"/>
    <w:qFormat/>
    <w:uiPriority w:val="0"/>
    <w:rPr>
      <w:rFonts w:ascii="等线" w:hAnsi="等线" w:eastAsia="等线"/>
      <w:kern w:val="2"/>
      <w:sz w:val="18"/>
      <w:szCs w:val="18"/>
    </w:rPr>
  </w:style>
  <w:style w:type="paragraph" w:customStyle="1" w:styleId="18">
    <w:name w:val="Revision"/>
    <w:hidden/>
    <w:unhideWhenUsed/>
    <w:qFormat/>
    <w:uiPriority w:val="99"/>
    <w:rPr>
      <w:rFonts w:ascii="等线" w:hAnsi="等线" w:eastAsia="等线" w:cs="Times New Roman"/>
      <w:kern w:val="2"/>
      <w:sz w:val="21"/>
      <w:szCs w:val="22"/>
      <w:lang w:val="en-US" w:eastAsia="zh-CN" w:bidi="ar-SA"/>
    </w:rPr>
  </w:style>
  <w:style w:type="paragraph" w:styleId="19">
    <w:name w:val="List Paragraph"/>
    <w:basedOn w:val="1"/>
    <w:qFormat/>
    <w:uiPriority w:val="99"/>
    <w:pPr>
      <w:ind w:firstLine="420" w:firstLineChars="200"/>
    </w:pPr>
  </w:style>
  <w:style w:type="character" w:customStyle="1" w:styleId="20">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4584</Words>
  <Characters>4852</Characters>
  <Lines>13</Lines>
  <Paragraphs>3</Paragraphs>
  <TotalTime>7</TotalTime>
  <ScaleCrop>false</ScaleCrop>
  <LinksUpToDate>false</LinksUpToDate>
  <CharactersWithSpaces>4860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2025-08-26T09:51:00Z</dcterms:created>
  <dc:creator>Administrator</dc:creator>
  <cp:lastModifiedBy>nyncj</cp:lastModifiedBy>
  <dcterms:modified xsi:type="dcterms:W3CDTF">2025-10-21T14:56:44Z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eyJoZGlkIjoiZjYxYWNkYTc0ODJiZjZjYWFiOGQ4ZTQ1YjRhNGQ1OTQiLCJ1c2VySWQiOiI1MzQ5NjY3ODMifQ==</vt:lpwstr>
  </property>
  <property fmtid="{D5CDD505-2E9C-101B-9397-08002B2CF9AE}" pid="4" name="ICV">
    <vt:lpwstr>B38A1162F19E40F5A16B693DD19B8333_13</vt:lpwstr>
  </property>
</Properties>
</file>