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8CC2B">
      <w:pPr>
        <w:pStyle w:val="13"/>
        <w:bidi w:val="0"/>
        <w:rPr>
          <w:rFonts w:hint="default"/>
          <w:lang w:val="en-US" w:eastAsia="zh-CN"/>
        </w:rPr>
      </w:pPr>
      <w:bookmarkStart w:id="0" w:name="_GoBack"/>
      <w:r>
        <w:rPr>
          <w:rFonts w:hint="default"/>
          <w:lang w:val="en-US" w:eastAsia="zh-CN"/>
        </w:rPr>
        <w:t>《北京市专利转化运用能力提升促进办法》解读</w:t>
      </w:r>
    </w:p>
    <w:bookmarkEnd w:id="0"/>
    <w:p w14:paraId="1946BAAB">
      <w:pPr>
        <w:pStyle w:val="8"/>
        <w:bidi w:val="0"/>
        <w:rPr>
          <w:rFonts w:hint="default"/>
          <w:lang w:val="en-US" w:eastAsia="zh-CN"/>
        </w:rPr>
      </w:pPr>
      <w:r>
        <w:rPr>
          <w:rFonts w:hint="default"/>
          <w:lang w:val="en-US" w:eastAsia="zh-CN"/>
        </w:rPr>
        <w:t>日期：2025年10月17日</w:t>
      </w:r>
      <w:r>
        <w:rPr>
          <w:rFonts w:hint="eastAsia"/>
          <w:lang w:val="en-US" w:eastAsia="zh-CN"/>
        </w:rPr>
        <w:t xml:space="preserve">                     </w:t>
      </w:r>
      <w:r>
        <w:rPr>
          <w:rFonts w:hint="default"/>
          <w:lang w:val="en-US" w:eastAsia="zh-CN"/>
        </w:rPr>
        <w:t>来源：知识产权运用促进处大中小</w:t>
      </w:r>
    </w:p>
    <w:p w14:paraId="12C35ACD">
      <w:pPr>
        <w:pStyle w:val="2"/>
        <w:bidi w:val="0"/>
        <w:rPr>
          <w:rFonts w:hint="default"/>
          <w:lang w:val="en-US" w:eastAsia="zh-CN"/>
        </w:rPr>
      </w:pPr>
      <w:r>
        <w:rPr>
          <w:rFonts w:hint="default"/>
          <w:lang w:val="en-US" w:eastAsia="zh-CN"/>
        </w:rPr>
        <w:t>一、背景依据</w:t>
      </w:r>
    </w:p>
    <w:p w14:paraId="7883894A">
      <w:pPr>
        <w:ind w:firstLine="560" w:firstLineChars="200"/>
        <w:rPr>
          <w:rFonts w:hint="default"/>
          <w:lang w:val="en-US" w:eastAsia="zh-CN"/>
        </w:rPr>
      </w:pPr>
      <w:r>
        <w:rPr>
          <w:rFonts w:hint="default"/>
          <w:lang w:val="en-US" w:eastAsia="zh-CN"/>
        </w:rPr>
        <w:t>为贯彻落实国务院办公厅《专利转化运用专项行动方案（2023—2025年）》和国家知识产权局等8部门《高校和科研机构存量专利盘活工作方案》，提升我市有关创新主体专利转化运用能力，提高专利服务机构专利转化运用服务水平，2024年8月，北京市知识产权局制定了《北京市专利转化运用能力提升促进办法（试行）》（以下简称“《试行办法》”），试行一年。试行期间，市知识产权局组织开展了相关项目申报工作，共向取得较好专利转化运用工作成效的26家高等学校、科研机构、医疗卫生机构和4家专利服务机构提供支持。《试行办法》已于2025年8月27日试行期满结束。为深化实施专项行动，持续促进我市有关创新主体和专利服务机构提高专利转化运用能力和服务水平，加快形成专利转化运用长效机制，以专利产业化助力培育新质生产力，市知识产权局研究制定了《北京市知识产权局关于印发〈北京市专利转化运用能力提升促进办法〉的通知》。</w:t>
      </w:r>
    </w:p>
    <w:p w14:paraId="464DDE46">
      <w:pPr>
        <w:pStyle w:val="2"/>
        <w:bidi w:val="0"/>
        <w:rPr>
          <w:rFonts w:hint="default"/>
          <w:lang w:val="en-US" w:eastAsia="zh-CN"/>
        </w:rPr>
      </w:pPr>
      <w:r>
        <w:rPr>
          <w:rFonts w:hint="default"/>
          <w:lang w:val="en-US" w:eastAsia="zh-CN"/>
        </w:rPr>
        <w:t>二、相关名词解释</w:t>
      </w:r>
    </w:p>
    <w:p w14:paraId="73DEA91F">
      <w:pPr>
        <w:ind w:firstLine="560" w:firstLineChars="200"/>
        <w:rPr>
          <w:rFonts w:hint="default"/>
          <w:lang w:val="en-US" w:eastAsia="zh-CN"/>
        </w:rPr>
      </w:pPr>
      <w:r>
        <w:rPr>
          <w:rFonts w:hint="default"/>
          <w:lang w:val="en-US" w:eastAsia="zh-CN"/>
        </w:rPr>
        <w:t>专利转化运用。本办法所称专利转化运用，是指通过转让、许可等方式将我国国内有效专利和符合条件的国外有效专利投入实际生产或应用于提供服务等的行为。</w:t>
      </w:r>
    </w:p>
    <w:p w14:paraId="123C3200">
      <w:pPr>
        <w:pStyle w:val="2"/>
        <w:bidi w:val="0"/>
        <w:rPr>
          <w:rFonts w:hint="default"/>
          <w:lang w:val="en-US" w:eastAsia="zh-CN"/>
        </w:rPr>
      </w:pPr>
      <w:r>
        <w:rPr>
          <w:rFonts w:hint="default"/>
          <w:lang w:val="en-US" w:eastAsia="zh-CN"/>
        </w:rPr>
        <w:t>三、主要内容</w:t>
      </w:r>
    </w:p>
    <w:p w14:paraId="6C1D6CC3">
      <w:pPr>
        <w:pStyle w:val="3"/>
        <w:bidi w:val="0"/>
        <w:rPr>
          <w:rFonts w:hint="default"/>
          <w:lang w:val="en-US" w:eastAsia="zh-CN"/>
        </w:rPr>
      </w:pPr>
      <w:r>
        <w:rPr>
          <w:rFonts w:hint="default"/>
          <w:lang w:val="en-US" w:eastAsia="zh-CN"/>
        </w:rPr>
        <w:t>（一）总则</w:t>
      </w:r>
    </w:p>
    <w:p w14:paraId="19305FCD">
      <w:pPr>
        <w:ind w:firstLine="560" w:firstLineChars="200"/>
        <w:rPr>
          <w:rFonts w:hint="default"/>
          <w:lang w:val="en-US" w:eastAsia="zh-CN"/>
        </w:rPr>
      </w:pPr>
      <w:r>
        <w:rPr>
          <w:rFonts w:hint="default"/>
          <w:lang w:val="en-US" w:eastAsia="zh-CN"/>
        </w:rPr>
        <w:t>主要说明本办法制定背景和工作思路。专利转化运用能力提升促进工作以能力建设为基础、综合成效为导向，通过专利转化运用支持中小微企业发展，赋能产业提质增效，加快推动专利技术向现实生产力转化。</w:t>
      </w:r>
    </w:p>
    <w:p w14:paraId="6777612E">
      <w:pPr>
        <w:pStyle w:val="3"/>
        <w:bidi w:val="0"/>
        <w:rPr>
          <w:rFonts w:hint="default"/>
          <w:lang w:val="en-US" w:eastAsia="zh-CN"/>
        </w:rPr>
      </w:pPr>
      <w:r>
        <w:rPr>
          <w:rFonts w:hint="default"/>
          <w:lang w:val="en-US" w:eastAsia="zh-CN"/>
        </w:rPr>
        <w:t>（二）支持对象、内容和标准</w:t>
      </w:r>
    </w:p>
    <w:p w14:paraId="4DD57047">
      <w:pPr>
        <w:ind w:firstLine="560" w:firstLineChars="200"/>
        <w:rPr>
          <w:rFonts w:hint="default"/>
          <w:lang w:val="en-US" w:eastAsia="zh-CN"/>
        </w:rPr>
      </w:pPr>
      <w:r>
        <w:rPr>
          <w:rFonts w:hint="default"/>
          <w:lang w:val="en-US" w:eastAsia="zh-CN"/>
        </w:rPr>
        <w:t>本办法支持对象为本市可以独立承担法律责任的高等学校、科研机构、医疗卫生机构和开展专利转化运用相关业务的服务机构。</w:t>
      </w:r>
    </w:p>
    <w:p w14:paraId="03DCE5E4">
      <w:pPr>
        <w:ind w:firstLine="560" w:firstLineChars="200"/>
        <w:rPr>
          <w:rFonts w:hint="default"/>
          <w:lang w:val="en-US" w:eastAsia="zh-CN"/>
        </w:rPr>
      </w:pPr>
      <w:r>
        <w:rPr>
          <w:rFonts w:hint="default"/>
          <w:lang w:val="en-US" w:eastAsia="zh-CN"/>
        </w:rPr>
        <w:t>本办法支持内容主要包括两项。</w:t>
      </w:r>
    </w:p>
    <w:p w14:paraId="3EC64BA7">
      <w:pPr>
        <w:ind w:firstLine="560" w:firstLineChars="200"/>
        <w:rPr>
          <w:rFonts w:hint="default"/>
          <w:lang w:val="en-US" w:eastAsia="zh-CN"/>
        </w:rPr>
      </w:pPr>
      <w:r>
        <w:rPr>
          <w:rFonts w:hint="default"/>
          <w:lang w:val="en-US" w:eastAsia="zh-CN"/>
        </w:rPr>
        <w:t>一是支持高等学校、科研机构、医疗卫生机构提升专利转化运用综合能力，加快实现专利产业化。</w:t>
      </w:r>
    </w:p>
    <w:p w14:paraId="690FF9D7">
      <w:pPr>
        <w:ind w:firstLine="560" w:firstLineChars="200"/>
        <w:rPr>
          <w:rFonts w:hint="default"/>
          <w:lang w:val="en-US" w:eastAsia="zh-CN"/>
        </w:rPr>
      </w:pPr>
      <w:r>
        <w:rPr>
          <w:rFonts w:hint="default"/>
          <w:lang w:val="en-US" w:eastAsia="zh-CN"/>
        </w:rPr>
        <w:t>根据申报单位专利转化运用策略或计划制定实施情况，专利转化运用工作机构设置和团队配置情况，专利转化运用管理制度建设和执行情况，专利资源基础和高质量专利培育情况，完成转让、许可的国内有效专利数量情况，转让、许可国内有效专利的合同金额情况或已登记的涉及专利的技术合同成交额情况以及专利转化运用工作情况等，成效显著的，分等次给予支持。</w:t>
      </w:r>
    </w:p>
    <w:p w14:paraId="0AAD81ED">
      <w:pPr>
        <w:ind w:firstLine="560" w:firstLineChars="200"/>
        <w:rPr>
          <w:rFonts w:hint="default"/>
          <w:lang w:val="en-US" w:eastAsia="zh-CN"/>
        </w:rPr>
      </w:pPr>
      <w:r>
        <w:rPr>
          <w:rFonts w:hint="default"/>
          <w:lang w:val="en-US" w:eastAsia="zh-CN"/>
        </w:rPr>
        <w:t>二是支持专利服务机构提高专利转化运用服务能力，提升专利产业化能效。</w:t>
      </w:r>
    </w:p>
    <w:p w14:paraId="2D8986D1">
      <w:pPr>
        <w:ind w:firstLine="560" w:firstLineChars="200"/>
        <w:rPr>
          <w:rFonts w:hint="default"/>
          <w:lang w:val="en-US" w:eastAsia="zh-CN"/>
        </w:rPr>
      </w:pPr>
      <w:r>
        <w:rPr>
          <w:rFonts w:hint="default"/>
          <w:lang w:val="en-US" w:eastAsia="zh-CN"/>
        </w:rPr>
        <w:t>根据申报单位专利转化运用服务策略或计划制定实施情况，专利转化运用服务工作组织管理体系和业务机构设置情况，专利转化运用服务业务团队配置和人才培养情况，为转让、许可国内有效专利或为达成已登记的涉及专利的技术合同提供咨询、分析、评估、经纪、投融资、法律等实质性转化运用服务工作情况等，成效显著的，分等次给予支持。</w:t>
      </w:r>
    </w:p>
    <w:p w14:paraId="7A6DEF1F">
      <w:pPr>
        <w:ind w:firstLine="560" w:firstLineChars="200"/>
        <w:rPr>
          <w:rFonts w:hint="default"/>
          <w:lang w:val="en-US" w:eastAsia="zh-CN"/>
        </w:rPr>
      </w:pPr>
      <w:r>
        <w:rPr>
          <w:rFonts w:hint="default"/>
          <w:lang w:val="en-US" w:eastAsia="zh-CN"/>
        </w:rPr>
        <w:t>本办法支持标准为：支持高等学校、科研机构、医疗卫生机构提升专利转化运用综合能力的，每个单位每年度获得的支持金额不超过50万元；支持专利服务机构提高专利转化运用服务能力的，每个单位每年度获得的支持金额不超过50万元。</w:t>
      </w:r>
    </w:p>
    <w:p w14:paraId="6A076DF2">
      <w:pPr>
        <w:pStyle w:val="3"/>
        <w:bidi w:val="0"/>
        <w:rPr>
          <w:rFonts w:hint="default"/>
          <w:lang w:val="en-US" w:eastAsia="zh-CN"/>
        </w:rPr>
      </w:pPr>
      <w:r>
        <w:rPr>
          <w:rFonts w:hint="default"/>
          <w:lang w:val="en-US" w:eastAsia="zh-CN"/>
        </w:rPr>
        <w:t>（三）申报和认定</w:t>
      </w:r>
    </w:p>
    <w:p w14:paraId="364280A4">
      <w:pPr>
        <w:ind w:firstLine="560" w:firstLineChars="200"/>
        <w:rPr>
          <w:rFonts w:hint="default"/>
          <w:lang w:val="en-US" w:eastAsia="zh-CN"/>
        </w:rPr>
      </w:pPr>
      <w:r>
        <w:rPr>
          <w:rFonts w:hint="default"/>
          <w:lang w:val="en-US" w:eastAsia="zh-CN"/>
        </w:rPr>
        <w:t>在申报认定程序方面，主要包括在官方网站上公开发布项目申报通知、申报单位自主申报、组织开展项目申报材料审核、研究确定支持方案、公示拟支持单位名单以及按相关规定拨付资金等。</w:t>
      </w:r>
    </w:p>
    <w:p w14:paraId="0D925C2A">
      <w:pPr>
        <w:ind w:firstLine="560" w:firstLineChars="200"/>
        <w:rPr>
          <w:rFonts w:hint="default"/>
          <w:lang w:val="en-US" w:eastAsia="zh-CN"/>
        </w:rPr>
      </w:pPr>
      <w:r>
        <w:rPr>
          <w:rFonts w:hint="default"/>
          <w:lang w:val="en-US" w:eastAsia="zh-CN"/>
        </w:rPr>
        <w:t>在认定标准方面，明确转让、许可专利和涉及国内专利的技术合同成交额的认定依据。</w:t>
      </w:r>
    </w:p>
    <w:p w14:paraId="34FA11D2">
      <w:pPr>
        <w:pStyle w:val="3"/>
        <w:bidi w:val="0"/>
        <w:rPr>
          <w:rFonts w:hint="default"/>
          <w:lang w:val="en-US" w:eastAsia="zh-CN"/>
        </w:rPr>
      </w:pPr>
      <w:r>
        <w:rPr>
          <w:rFonts w:hint="default"/>
          <w:lang w:val="en-US" w:eastAsia="zh-CN"/>
        </w:rPr>
        <w:t>（四）管理和监督</w:t>
      </w:r>
    </w:p>
    <w:p w14:paraId="2ACFB23E">
      <w:pPr>
        <w:ind w:firstLine="560" w:firstLineChars="200"/>
        <w:rPr>
          <w:rFonts w:hint="default"/>
          <w:lang w:val="en-US" w:eastAsia="zh-CN"/>
        </w:rPr>
      </w:pPr>
      <w:r>
        <w:rPr>
          <w:rFonts w:hint="default"/>
          <w:lang w:val="en-US" w:eastAsia="zh-CN"/>
        </w:rPr>
        <w:t>一是明确不予支持和不再拨付资金的情形。二是规定项目申报采取信用承诺制。三是规定获得本办法资金支持的单位的相关义务。四是规定对于提供虚假材料、承诺等方式获取资金支持的采取的处理和处置方式。</w:t>
      </w:r>
    </w:p>
    <w:p w14:paraId="37170DB4">
      <w:pPr>
        <w:pStyle w:val="3"/>
        <w:bidi w:val="0"/>
        <w:rPr>
          <w:rFonts w:hint="default"/>
          <w:lang w:val="en-US" w:eastAsia="zh-CN"/>
        </w:rPr>
      </w:pPr>
      <w:r>
        <w:rPr>
          <w:rFonts w:hint="default"/>
          <w:lang w:val="en-US" w:eastAsia="zh-CN"/>
        </w:rPr>
        <w:t>（五）附则</w:t>
      </w:r>
    </w:p>
    <w:p w14:paraId="4A67A689">
      <w:pPr>
        <w:ind w:firstLine="560" w:firstLineChars="200"/>
        <w:rPr>
          <w:rFonts w:hint="default"/>
          <w:lang w:val="en-US" w:eastAsia="zh-CN"/>
        </w:rPr>
      </w:pPr>
      <w:r>
        <w:rPr>
          <w:rFonts w:hint="default"/>
          <w:lang w:val="en-US" w:eastAsia="zh-CN"/>
        </w:rPr>
        <w:t>解释“国内有效专利”的概念并规定解释主体和施行日期。</w:t>
      </w:r>
    </w:p>
    <w:p w14:paraId="489306F5">
      <w:pPr>
        <w:ind w:firstLine="560" w:firstLineChars="200"/>
        <w:rPr>
          <w:rFonts w:hint="default"/>
          <w:lang w:val="en-US" w:eastAsia="zh-CN"/>
        </w:rPr>
      </w:pPr>
      <w:r>
        <w:rPr>
          <w:rFonts w:hint="default"/>
          <w:lang w:val="en-US" w:eastAsia="zh-CN"/>
        </w:rPr>
        <w:t>https://zscqj.beijing.gov.cn/zscqj/zwgk/zcjd90/743802291/index.html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BA3767"/>
    <w:rsid w:val="0A3D2F70"/>
    <w:rsid w:val="0B9079F1"/>
    <w:rsid w:val="0E1238D7"/>
    <w:rsid w:val="0E592DD6"/>
    <w:rsid w:val="0EBE39E4"/>
    <w:rsid w:val="0F033741"/>
    <w:rsid w:val="0F9E1127"/>
    <w:rsid w:val="0FC26D8E"/>
    <w:rsid w:val="122C71D3"/>
    <w:rsid w:val="12B6109D"/>
    <w:rsid w:val="135C6A68"/>
    <w:rsid w:val="14AC3169"/>
    <w:rsid w:val="14BA55A9"/>
    <w:rsid w:val="16E465E6"/>
    <w:rsid w:val="17AB4695"/>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4163C6F"/>
    <w:rsid w:val="34FC0B26"/>
    <w:rsid w:val="35CC7FE4"/>
    <w:rsid w:val="35E70CC3"/>
    <w:rsid w:val="370B0758"/>
    <w:rsid w:val="38D5360F"/>
    <w:rsid w:val="39C13035"/>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1B5D76"/>
    <w:rsid w:val="605308F0"/>
    <w:rsid w:val="60F01468"/>
    <w:rsid w:val="613B531F"/>
    <w:rsid w:val="61537BFA"/>
    <w:rsid w:val="61941FCD"/>
    <w:rsid w:val="61A372B8"/>
    <w:rsid w:val="61CC184F"/>
    <w:rsid w:val="61FB7F6E"/>
    <w:rsid w:val="626A293A"/>
    <w:rsid w:val="632C62D6"/>
    <w:rsid w:val="65D44687"/>
    <w:rsid w:val="66801568"/>
    <w:rsid w:val="67697562"/>
    <w:rsid w:val="695B7490"/>
    <w:rsid w:val="69C218FE"/>
    <w:rsid w:val="69C77AA6"/>
    <w:rsid w:val="6A36022A"/>
    <w:rsid w:val="6BC9376B"/>
    <w:rsid w:val="6C270DD3"/>
    <w:rsid w:val="6C705350"/>
    <w:rsid w:val="6D872A5A"/>
    <w:rsid w:val="6E1F25FD"/>
    <w:rsid w:val="6E413E28"/>
    <w:rsid w:val="6F4638FD"/>
    <w:rsid w:val="702831D6"/>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88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2025-10-22T05:54:19Z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10EB0F56BD124113BFFD81B779560A89_13</vt:lpwstr>
  </property>
  <property fmtid="{D5CDD505-2E9C-101B-9397-08002B2CF9AE}" pid="4" name="KSOTemplateDocerSaveRecord">
    <vt:lpwstr>eyJoZGlkIjoiMjIxMjI5YjhlNTAxYzUyOTYyYWZlMGFjYmE4ZTczY2EiLCJ1c2VySWQiOiIxNDU2NzYxMDUwIn0=</vt:lpwstr>
  </property>
</Properties>
</file>