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8DD78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【图片解读】一图读懂西城区推动文化产业高质量发展若干措施</w:t>
      </w:r>
    </w:p>
    <w:bookmarkEnd w:id="0"/>
    <w:p w14:paraId="066CB297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发布时间：2025-09-30 10:00</w:t>
      </w:r>
    </w:p>
    <w:p w14:paraId="4A894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162425" cy="805180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700" cy="88125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81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9575" cy="8591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5775" cy="87439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24325" cy="8877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7675" cy="85153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2425" cy="88963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84677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9575" cy="85248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6250" cy="8572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85915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0050" cy="84867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0525" cy="86487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3375" cy="87439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87249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16668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B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rPr>
          <w:rFonts w:hint="eastAsia"/>
        </w:rPr>
        <w:t>https://www.bjxch.gov.cn/xxgk/xxxq/pnidpv986793.html</w:t>
      </w:r>
    </w:p>
    <w:p w14:paraId="289E1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2838DB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A36022A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microsoft.com/office/2006/relationships/keyMapCustomizations" Target="customizations.xml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35</Words>
  <Characters>48</Characters>
  <Lines>1</Lines>
  <Paragraphs>1</Paragraphs>
  <TotalTime>3</TotalTime>
  <ScaleCrop>false</ScaleCrop>
  <LinksUpToDate>false</LinksUpToDate>
  <CharactersWithSpaces>53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2025-10-15T10:10:06Z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FF16560905154C1D983F1BBDCCB74B7A_13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