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BB8F2">
      <w:pPr>
        <w:pStyle w:val="13"/>
        <w:bidi w:val="0"/>
        <w:rPr>
          <w:rFonts w:hint="default"/>
          <w:lang w:val="en-US" w:eastAsia="zh-CN"/>
        </w:rPr>
      </w:pPr>
      <w:bookmarkStart w:id="0" w:name="_GoBack"/>
      <w:r>
        <w:rPr>
          <w:rFonts w:hint="default"/>
          <w:lang w:val="en-US" w:eastAsia="zh-CN"/>
        </w:rPr>
        <w:t>解读：《北京市关于加快构建科技金融体制有力支撑高水平科技自立自强的实施方案（2025-2027年）》</w:t>
      </w:r>
    </w:p>
    <w:bookmarkEnd w:id="0"/>
    <w:p w14:paraId="5F916223">
      <w:pPr>
        <w:pStyle w:val="8"/>
        <w:bidi w:val="0"/>
        <w:rPr>
          <w:rFonts w:hint="default"/>
          <w:lang w:val="en-US" w:eastAsia="zh-CN"/>
        </w:rPr>
      </w:pPr>
      <w:r>
        <w:rPr>
          <w:rFonts w:hint="default"/>
          <w:lang w:val="en-US" w:eastAsia="zh-CN"/>
        </w:rPr>
        <w:t xml:space="preserve">日期：2025-10-15 </w:t>
      </w:r>
      <w:r>
        <w:rPr>
          <w:rFonts w:hint="eastAsia"/>
          <w:lang w:val="en-US" w:eastAsia="zh-CN"/>
        </w:rPr>
        <w:t xml:space="preserve">    </w:t>
      </w:r>
      <w:r>
        <w:rPr>
          <w:rFonts w:hint="default"/>
          <w:lang w:val="en-US" w:eastAsia="zh-CN"/>
        </w:rPr>
        <w:t>来源：北京市科学技术委员会、中关村科技园区管理委员会</w:t>
      </w:r>
    </w:p>
    <w:p w14:paraId="2AB108E5">
      <w:pPr>
        <w:ind w:firstLine="560" w:firstLineChars="200"/>
        <w:rPr>
          <w:rFonts w:hint="default"/>
          <w:lang w:val="en-US" w:eastAsia="zh-CN"/>
        </w:rPr>
      </w:pPr>
      <w:r>
        <w:rPr>
          <w:rFonts w:hint="default"/>
          <w:lang w:val="en-US" w:eastAsia="zh-CN"/>
        </w:rPr>
        <w:t>2025年9月，北京市科学技术委员会、中关村科技园区管理委员会、中国人民银行北京市分行、国家金融监督管理总局北京监管局、中国证券监督管理委员会北京监管局、中共北京市委金融委员会办公室、北京市发展和改革委员会、北京市财政局、北京市人民政府国有资产监督管理委员会发布《北京市关于加快构建科技金融体制有力支撑高水平科技自立自强的实施方案（2025-2027年）》（以下简称“实施方案”）。现就《实施方案》解读如下：</w:t>
      </w:r>
    </w:p>
    <w:p w14:paraId="18F2402E">
      <w:pPr>
        <w:pStyle w:val="2"/>
        <w:bidi w:val="0"/>
        <w:rPr>
          <w:rFonts w:hint="default"/>
          <w:lang w:val="en-US" w:eastAsia="zh-CN"/>
        </w:rPr>
      </w:pPr>
      <w:r>
        <w:rPr>
          <w:rFonts w:hint="default"/>
          <w:lang w:val="en-US" w:eastAsia="zh-CN"/>
        </w:rPr>
        <w:t>一、制定背景</w:t>
      </w:r>
    </w:p>
    <w:p w14:paraId="0A41C402">
      <w:pPr>
        <w:ind w:firstLine="560" w:firstLineChars="200"/>
        <w:rPr>
          <w:rFonts w:hint="default"/>
          <w:lang w:val="en-US" w:eastAsia="zh-CN"/>
        </w:rPr>
      </w:pPr>
      <w:r>
        <w:rPr>
          <w:rFonts w:hint="default"/>
          <w:lang w:val="en-US" w:eastAsia="zh-CN"/>
        </w:rPr>
        <w:t>《实施方案》是落实科技部、中国人民银行等七部委《加快构建科技金融体制有力支撑高水平科技自立自强的若干政策举措》、加快构建北京市科技金融体制机制、扎实推进北京国际科技创新中心建设的关键举措。《实施方案》将国家政策“本土化”与本市实践经验“制度化”相结合，着力破解科创企业融资难点问题，聚焦创业投资、银行信贷、资本市场、科技保险、债券发行等领域，推动我市加大引入科技金融增量投入。</w:t>
      </w:r>
    </w:p>
    <w:p w14:paraId="3BDBBA18">
      <w:pPr>
        <w:pStyle w:val="2"/>
        <w:bidi w:val="0"/>
        <w:rPr>
          <w:rFonts w:hint="default"/>
          <w:lang w:val="en-US" w:eastAsia="zh-CN"/>
        </w:rPr>
      </w:pPr>
      <w:r>
        <w:rPr>
          <w:rFonts w:hint="default"/>
          <w:lang w:val="en-US" w:eastAsia="zh-CN"/>
        </w:rPr>
        <w:t>二、发展目标</w:t>
      </w:r>
    </w:p>
    <w:p w14:paraId="2611893C">
      <w:pPr>
        <w:ind w:firstLine="560" w:firstLineChars="200"/>
        <w:rPr>
          <w:rFonts w:hint="default"/>
          <w:lang w:val="en-US" w:eastAsia="zh-CN"/>
        </w:rPr>
      </w:pPr>
      <w:r>
        <w:rPr>
          <w:rFonts w:hint="default"/>
          <w:lang w:val="en-US" w:eastAsia="zh-CN"/>
        </w:rPr>
        <w:t>加快建设完善首都科技金融服务体系，面向国家实验室、科技领军企业的金融服务进一步增强，国家重大科技任务资金需求得到有力保障，科技型企业融资便利度、获得感明显提升，国家高新技术企业、专精特新企业、科技型中小企业的首贷率和信贷覆盖率持续提升，初步形成多元化、多层次、多渠道的科技金融投入格局。</w:t>
      </w:r>
    </w:p>
    <w:p w14:paraId="53533ACB">
      <w:pPr>
        <w:ind w:firstLine="560" w:firstLineChars="200"/>
        <w:rPr>
          <w:rFonts w:hint="default"/>
          <w:lang w:val="en-US" w:eastAsia="zh-CN"/>
        </w:rPr>
      </w:pPr>
      <w:r>
        <w:rPr>
          <w:rFonts w:hint="default"/>
          <w:lang w:val="en-US" w:eastAsia="zh-CN"/>
        </w:rPr>
        <w:t>到2027年底，科技创新领域引入长期资本、耐心资本等在京新设基金规模力争超万亿元；科技贷款和科技型企业贷款余额分别突破5.5万亿元和2.5万亿元，年均增速高于全国平均水平和全市各项贷款增速；推动科技创新债券、科技保险、科技型企业上市和不动产投资信托基金（REITs）发行规模位居全国前列。</w:t>
      </w:r>
    </w:p>
    <w:p w14:paraId="4EF990C6">
      <w:pPr>
        <w:pStyle w:val="2"/>
        <w:bidi w:val="0"/>
        <w:rPr>
          <w:rFonts w:hint="default"/>
          <w:lang w:val="en-US" w:eastAsia="zh-CN"/>
        </w:rPr>
      </w:pPr>
      <w:r>
        <w:rPr>
          <w:rFonts w:hint="default"/>
          <w:lang w:val="en-US" w:eastAsia="zh-CN"/>
        </w:rPr>
        <w:t>三、主要内容</w:t>
      </w:r>
    </w:p>
    <w:p w14:paraId="49B4BB25">
      <w:pPr>
        <w:ind w:firstLine="562" w:firstLineChars="200"/>
        <w:rPr>
          <w:rFonts w:hint="default"/>
          <w:lang w:val="en-US" w:eastAsia="zh-CN"/>
        </w:rPr>
      </w:pPr>
      <w:r>
        <w:rPr>
          <w:rStyle w:val="25"/>
          <w:rFonts w:hint="default"/>
          <w:lang w:val="en-US" w:eastAsia="zh-CN"/>
        </w:rPr>
        <w:t>（一）发挥创业投资支持科技创新生力军作用。</w:t>
      </w:r>
      <w:r>
        <w:rPr>
          <w:rFonts w:hint="default"/>
          <w:lang w:val="en-US" w:eastAsia="zh-CN"/>
        </w:rPr>
        <w:t>包括：争取各类国家级基金在京落地、深化金融资产投资公司（AIC）股权投资试点、支持长期资本在京扩大股权投资规模、促进创业投资和股权投资高质量发展、健全创业投资退出渠道等五条举措。</w:t>
      </w:r>
    </w:p>
    <w:p w14:paraId="26A4120E">
      <w:pPr>
        <w:ind w:firstLine="562" w:firstLineChars="200"/>
        <w:rPr>
          <w:rFonts w:hint="default"/>
          <w:lang w:val="en-US" w:eastAsia="zh-CN"/>
        </w:rPr>
      </w:pPr>
      <w:r>
        <w:rPr>
          <w:rStyle w:val="25"/>
          <w:rFonts w:hint="default"/>
          <w:lang w:val="en-US" w:eastAsia="zh-CN"/>
        </w:rPr>
        <w:t>（二）发挥货币信贷支持科技创新的重要作用。</w:t>
      </w:r>
      <w:r>
        <w:rPr>
          <w:rFonts w:hint="default"/>
          <w:lang w:val="en-US" w:eastAsia="zh-CN"/>
        </w:rPr>
        <w:t>包括：用好用足结构性货币政策工具、优化科技型企业评价模型、推动银行丰富科技信贷创新产品、推动科技金融专营化专业化发展、深化中关村科创金融服务中心试点等五条举措。</w:t>
      </w:r>
    </w:p>
    <w:p w14:paraId="3AF9B17A">
      <w:pPr>
        <w:ind w:firstLine="562" w:firstLineChars="200"/>
        <w:rPr>
          <w:rFonts w:hint="default"/>
          <w:lang w:val="en-US" w:eastAsia="zh-CN"/>
        </w:rPr>
      </w:pPr>
      <w:r>
        <w:rPr>
          <w:rStyle w:val="25"/>
          <w:rFonts w:hint="default"/>
          <w:lang w:val="en-US" w:eastAsia="zh-CN"/>
        </w:rPr>
        <w:t>（三）发挥资本市场支持科技创新的关键枢纽作用。</w:t>
      </w:r>
      <w:r>
        <w:rPr>
          <w:rFonts w:hint="default"/>
          <w:lang w:val="en-US" w:eastAsia="zh-CN"/>
        </w:rPr>
        <w:t>包括：加大力度支持优质科技型企业挂牌上市、打造债券“中关村科技板”、支持符合条件的项目发行REITs（不动产信托投资基金）等三条举措。</w:t>
      </w:r>
    </w:p>
    <w:p w14:paraId="52C8371D">
      <w:pPr>
        <w:ind w:firstLine="562" w:firstLineChars="200"/>
        <w:rPr>
          <w:rFonts w:hint="default"/>
          <w:lang w:val="en-US" w:eastAsia="zh-CN"/>
        </w:rPr>
      </w:pPr>
      <w:r>
        <w:rPr>
          <w:rStyle w:val="25"/>
          <w:rFonts w:hint="default"/>
          <w:lang w:val="en-US" w:eastAsia="zh-CN"/>
        </w:rPr>
        <w:t>（四）发挥科技保险支持创新的减震器和稳定器作用。</w:t>
      </w:r>
      <w:r>
        <w:rPr>
          <w:rFonts w:hint="default"/>
          <w:lang w:val="en-US" w:eastAsia="zh-CN"/>
        </w:rPr>
        <w:t>包括：推动科技保险产品和服务创新一条举措。</w:t>
      </w:r>
    </w:p>
    <w:p w14:paraId="63EC03B9">
      <w:pPr>
        <w:ind w:firstLine="562" w:firstLineChars="200"/>
        <w:rPr>
          <w:rFonts w:hint="default"/>
          <w:lang w:val="en-US" w:eastAsia="zh-CN"/>
        </w:rPr>
      </w:pPr>
      <w:r>
        <w:rPr>
          <w:rStyle w:val="25"/>
          <w:rFonts w:hint="default"/>
          <w:lang w:val="en-US" w:eastAsia="zh-CN"/>
        </w:rPr>
        <w:t>（五）加强财政政策对科技金融的引导和支持。</w:t>
      </w:r>
      <w:r>
        <w:rPr>
          <w:rFonts w:hint="default"/>
          <w:lang w:val="en-US" w:eastAsia="zh-CN"/>
        </w:rPr>
        <w:t>包括：发挥财政资金放大和引导作用一条举措。</w:t>
      </w:r>
    </w:p>
    <w:p w14:paraId="70929F85">
      <w:pPr>
        <w:ind w:firstLine="562" w:firstLineChars="200"/>
        <w:rPr>
          <w:rFonts w:hint="default"/>
          <w:lang w:val="en-US" w:eastAsia="zh-CN"/>
        </w:rPr>
      </w:pPr>
      <w:r>
        <w:rPr>
          <w:rStyle w:val="25"/>
          <w:rFonts w:hint="default"/>
          <w:lang w:val="en-US" w:eastAsia="zh-CN"/>
        </w:rPr>
        <w:t>（六）打造科技金融开放创新生态。</w:t>
      </w:r>
      <w:r>
        <w:rPr>
          <w:rFonts w:hint="default"/>
          <w:lang w:val="en-US" w:eastAsia="zh-CN"/>
        </w:rPr>
        <w:t>包括：提升跨境资金使用便利性、推动科技金融开放合作等两条举措。</w:t>
      </w:r>
    </w:p>
    <w:p w14:paraId="0C8E2E49">
      <w:pPr>
        <w:ind w:firstLine="562" w:firstLineChars="200"/>
        <w:rPr>
          <w:rFonts w:hint="default"/>
          <w:lang w:val="en-US" w:eastAsia="zh-CN"/>
        </w:rPr>
      </w:pPr>
      <w:r>
        <w:rPr>
          <w:rStyle w:val="25"/>
          <w:rFonts w:hint="default"/>
          <w:lang w:val="en-US" w:eastAsia="zh-CN"/>
        </w:rPr>
        <w:t>（七）加强组织实施。</w:t>
      </w:r>
      <w:r>
        <w:rPr>
          <w:rFonts w:hint="default"/>
          <w:lang w:val="en-US" w:eastAsia="zh-CN"/>
        </w:rPr>
        <w:t>包括：加强科技金融工作统筹、持续做好企业融资对接、完善科技金融监测统计机制等三条举措。</w:t>
      </w:r>
    </w:p>
    <w:p w14:paraId="52103AD2">
      <w:pPr>
        <w:pStyle w:val="2"/>
        <w:bidi w:val="0"/>
        <w:rPr>
          <w:rFonts w:hint="default"/>
          <w:lang w:val="en-US" w:eastAsia="zh-CN"/>
        </w:rPr>
      </w:pPr>
      <w:r>
        <w:rPr>
          <w:rFonts w:hint="default"/>
          <w:lang w:val="en-US" w:eastAsia="zh-CN"/>
        </w:rPr>
        <w:t>四、政策亮点</w:t>
      </w:r>
    </w:p>
    <w:p w14:paraId="593E810B">
      <w:pPr>
        <w:ind w:firstLine="562" w:firstLineChars="200"/>
        <w:rPr>
          <w:rFonts w:hint="default"/>
          <w:lang w:val="en-US" w:eastAsia="zh-CN"/>
        </w:rPr>
      </w:pPr>
      <w:r>
        <w:rPr>
          <w:rStyle w:val="25"/>
          <w:rFonts w:hint="default"/>
          <w:lang w:val="en-US" w:eastAsia="zh-CN"/>
        </w:rPr>
        <w:t>（一）加强引入长期资本投早、投小、投长期、投硬科技。</w:t>
      </w:r>
      <w:r>
        <w:rPr>
          <w:rFonts w:hint="default"/>
          <w:lang w:val="en-US" w:eastAsia="zh-CN"/>
        </w:rPr>
        <w:t>明确提出推动国家创业投资引导基金京津冀区域基金、国家中小企业发展基金二期等在京落地；到2027年底力争AIC在京合作基金总规模不低于500亿元；争取金融资产投资公司对符合条件的合作基金仅以有限合伙人身份参与设立等亮点举措。</w:t>
      </w:r>
    </w:p>
    <w:p w14:paraId="383B87FF">
      <w:pPr>
        <w:ind w:firstLine="562" w:firstLineChars="200"/>
        <w:rPr>
          <w:rFonts w:hint="default"/>
          <w:lang w:val="en-US" w:eastAsia="zh-CN"/>
        </w:rPr>
      </w:pPr>
      <w:r>
        <w:rPr>
          <w:rStyle w:val="25"/>
          <w:rFonts w:hint="default"/>
          <w:lang w:val="en-US" w:eastAsia="zh-CN"/>
        </w:rPr>
        <w:t>（二）引导金融机构加大对科技型企业的信贷支持。</w:t>
      </w:r>
      <w:r>
        <w:rPr>
          <w:rFonts w:hint="default"/>
          <w:lang w:val="en-US" w:eastAsia="zh-CN"/>
        </w:rPr>
        <w:t>明确提出力争每年通过科技创新和技术改造再贷款政策工具撬动相关贷款投放不低于1000亿元；建立“中关村领航积分”评价模型；支持银行探索为科技型企业提供5年期以上“科创贷”，用于创新研发活动并可按需无还本续贷；鼓励银行在科创资源密集区域设立科技特色支行，力争到2027年底实现对中关村特色产业园全覆盖；力争2027年底在中关村科创金融服务中心开展的各项业务授信金额不低于1000亿元等亮点举措。</w:t>
      </w:r>
    </w:p>
    <w:p w14:paraId="3296DB06">
      <w:pPr>
        <w:ind w:firstLine="562" w:firstLineChars="200"/>
        <w:rPr>
          <w:rFonts w:hint="default"/>
          <w:lang w:val="en-US" w:eastAsia="zh-CN"/>
        </w:rPr>
      </w:pPr>
      <w:r>
        <w:rPr>
          <w:rStyle w:val="25"/>
          <w:rFonts w:hint="default"/>
          <w:lang w:val="en-US" w:eastAsia="zh-CN"/>
        </w:rPr>
        <w:t>（三）发挥资本市场的关键枢纽作用。</w:t>
      </w:r>
      <w:r>
        <w:rPr>
          <w:rFonts w:hint="default"/>
          <w:lang w:val="en-US" w:eastAsia="zh-CN"/>
        </w:rPr>
        <w:t>明确提出对承担重大科技攻关任务、突破关键核心技术、优质未盈利企业上市融资实施专人对接、精准服务；持续扩大新型基础设施、特色产业园REITs储备项目数量及规模，鼓励符合条件的已上市REITs项目扩募等亮点举措。</w:t>
      </w:r>
    </w:p>
    <w:p w14:paraId="2C4FFAEC">
      <w:pPr>
        <w:ind w:firstLine="562" w:firstLineChars="200"/>
        <w:rPr>
          <w:rFonts w:hint="default"/>
          <w:lang w:val="en-US" w:eastAsia="zh-CN"/>
        </w:rPr>
      </w:pPr>
      <w:r>
        <w:rPr>
          <w:rStyle w:val="25"/>
          <w:rFonts w:hint="default"/>
          <w:lang w:val="en-US" w:eastAsia="zh-CN"/>
        </w:rPr>
        <w:t>（四）支持科技保险更好发挥创新风险分担和补偿作用。</w:t>
      </w:r>
      <w:r>
        <w:rPr>
          <w:rFonts w:hint="default"/>
          <w:lang w:val="en-US" w:eastAsia="zh-CN"/>
        </w:rPr>
        <w:t>明确提出：鼓励保险公司优化升级商业健康保险产品，将本市创新药纳入商业保险范围；研究在智能驾驶、人形机器人、生物医药等领域组建重大科技攻关保险共同体；探索支持保险公司设立覆盖科技成果转化全链条的风险评估专业机构等亮点举措。</w:t>
      </w:r>
    </w:p>
    <w:p w14:paraId="3C0E863B">
      <w:pPr>
        <w:ind w:firstLine="560" w:firstLineChars="200"/>
        <w:rPr>
          <w:rFonts w:hint="default"/>
          <w:lang w:val="en-US" w:eastAsia="zh-CN"/>
        </w:rPr>
      </w:pPr>
      <w:r>
        <w:rPr>
          <w:rFonts w:hint="default"/>
          <w:lang w:val="en-US" w:eastAsia="zh-CN"/>
        </w:rPr>
        <w:t>https://kw.beijing.gov.cn/zwgk/zcjd/202510/t20251015_4225004.html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7A50BC"/>
    <w:rsid w:val="06961A26"/>
    <w:rsid w:val="072E100E"/>
    <w:rsid w:val="07D41004"/>
    <w:rsid w:val="08232C96"/>
    <w:rsid w:val="093C70F8"/>
    <w:rsid w:val="0A3D2F70"/>
    <w:rsid w:val="0B9079F1"/>
    <w:rsid w:val="0E1238D7"/>
    <w:rsid w:val="0E592DD6"/>
    <w:rsid w:val="0EBE39E4"/>
    <w:rsid w:val="0F033741"/>
    <w:rsid w:val="0F9E1127"/>
    <w:rsid w:val="0FC26D8E"/>
    <w:rsid w:val="122C71D3"/>
    <w:rsid w:val="12B6109D"/>
    <w:rsid w:val="135C6A68"/>
    <w:rsid w:val="14AC3169"/>
    <w:rsid w:val="14BA55A9"/>
    <w:rsid w:val="16E465E6"/>
    <w:rsid w:val="17B571BE"/>
    <w:rsid w:val="187A04AD"/>
    <w:rsid w:val="188602CE"/>
    <w:rsid w:val="191F6B75"/>
    <w:rsid w:val="19DB3E43"/>
    <w:rsid w:val="1A3F168A"/>
    <w:rsid w:val="1ACD4BC9"/>
    <w:rsid w:val="1AD00105"/>
    <w:rsid w:val="1C1F5C60"/>
    <w:rsid w:val="1C26202E"/>
    <w:rsid w:val="1CFA082A"/>
    <w:rsid w:val="1D75769C"/>
    <w:rsid w:val="1E486D5E"/>
    <w:rsid w:val="20B21A40"/>
    <w:rsid w:val="20E515DF"/>
    <w:rsid w:val="20EE4514"/>
    <w:rsid w:val="22A660F0"/>
    <w:rsid w:val="23350630"/>
    <w:rsid w:val="239C0C8D"/>
    <w:rsid w:val="2458023C"/>
    <w:rsid w:val="24891F4C"/>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1E7304"/>
    <w:rsid w:val="2DDA75F8"/>
    <w:rsid w:val="2E561F32"/>
    <w:rsid w:val="2F167534"/>
    <w:rsid w:val="30D427EB"/>
    <w:rsid w:val="31604062"/>
    <w:rsid w:val="31AC3498"/>
    <w:rsid w:val="31BA36E4"/>
    <w:rsid w:val="34163C6F"/>
    <w:rsid w:val="34FC0B26"/>
    <w:rsid w:val="35CC7FE4"/>
    <w:rsid w:val="370B0758"/>
    <w:rsid w:val="38D5360F"/>
    <w:rsid w:val="39C13035"/>
    <w:rsid w:val="3B005163"/>
    <w:rsid w:val="3BC5648D"/>
    <w:rsid w:val="3C131F35"/>
    <w:rsid w:val="3C8B707E"/>
    <w:rsid w:val="3D242F7A"/>
    <w:rsid w:val="3E9C40F3"/>
    <w:rsid w:val="40B15178"/>
    <w:rsid w:val="4139196E"/>
    <w:rsid w:val="417A5F93"/>
    <w:rsid w:val="4296377D"/>
    <w:rsid w:val="42F8070A"/>
    <w:rsid w:val="430E0353"/>
    <w:rsid w:val="433C38D6"/>
    <w:rsid w:val="441C68B9"/>
    <w:rsid w:val="446948F1"/>
    <w:rsid w:val="45B9632A"/>
    <w:rsid w:val="47407E1B"/>
    <w:rsid w:val="480F418D"/>
    <w:rsid w:val="485C7A85"/>
    <w:rsid w:val="486F5D2C"/>
    <w:rsid w:val="4B077B9F"/>
    <w:rsid w:val="4CF97814"/>
    <w:rsid w:val="4D797ECA"/>
    <w:rsid w:val="4E7271B8"/>
    <w:rsid w:val="4EB31BF9"/>
    <w:rsid w:val="4F216E80"/>
    <w:rsid w:val="4F6B7653"/>
    <w:rsid w:val="505020B9"/>
    <w:rsid w:val="514A0E57"/>
    <w:rsid w:val="515B6E68"/>
    <w:rsid w:val="52511EB8"/>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941FCD"/>
    <w:rsid w:val="61A372B8"/>
    <w:rsid w:val="61CC184F"/>
    <w:rsid w:val="61FB7F6E"/>
    <w:rsid w:val="626A293A"/>
    <w:rsid w:val="632C62D6"/>
    <w:rsid w:val="66801568"/>
    <w:rsid w:val="67697562"/>
    <w:rsid w:val="695B7490"/>
    <w:rsid w:val="69C218FE"/>
    <w:rsid w:val="6A36022A"/>
    <w:rsid w:val="6C270DD3"/>
    <w:rsid w:val="6C705350"/>
    <w:rsid w:val="6D872A5A"/>
    <w:rsid w:val="6E1F25FD"/>
    <w:rsid w:val="6E413E28"/>
    <w:rsid w:val="6F4638FD"/>
    <w:rsid w:val="70956FE4"/>
    <w:rsid w:val="71020CE1"/>
    <w:rsid w:val="73F7433F"/>
    <w:rsid w:val="756F626F"/>
    <w:rsid w:val="75930F1E"/>
    <w:rsid w:val="775748F9"/>
    <w:rsid w:val="77BF12F7"/>
    <w:rsid w:val="78264085"/>
    <w:rsid w:val="79060B26"/>
    <w:rsid w:val="798E17BF"/>
    <w:rsid w:val="79D16624"/>
    <w:rsid w:val="79E44119"/>
    <w:rsid w:val="7A5A1A94"/>
    <w:rsid w:val="7AA0221D"/>
    <w:rsid w:val="7B705706"/>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5"/>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6"/>
    <w:unhideWhenUsed/>
    <w:qFormat/>
    <w:uiPriority w:val="9"/>
    <w:pPr>
      <w:keepNext/>
      <w:keepLines/>
      <w:spacing w:line="440" w:lineRule="exact"/>
      <w:outlineLvl w:val="2"/>
    </w:pPr>
    <w:rPr>
      <w:b/>
      <w:bCs/>
      <w:szCs w:val="32"/>
    </w:rPr>
  </w:style>
  <w:style w:type="paragraph" w:styleId="5">
    <w:name w:val="heading 4"/>
    <w:basedOn w:val="1"/>
    <w:next w:val="1"/>
    <w:link w:val="27"/>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3 Char1"/>
    <w:link w:val="4"/>
    <w:qFormat/>
    <w:uiPriority w:val="9"/>
    <w:rPr>
      <w:rFonts w:ascii="仿宋_GB2312" w:hAnsi="仿宋_GB2312" w:eastAsia="仿宋_GB2312"/>
      <w:b/>
    </w:rPr>
  </w:style>
  <w:style w:type="character" w:customStyle="1" w:styleId="25">
    <w:name w:val="标题 2 字符"/>
    <w:basedOn w:val="16"/>
    <w:link w:val="3"/>
    <w:qFormat/>
    <w:uiPriority w:val="9"/>
    <w:rPr>
      <w:rFonts w:ascii="楷体_GB2312" w:hAnsi="楷体_GB2312" w:eastAsia="楷体_GB2312" w:cs="Times New Roman"/>
      <w:b/>
      <w:bCs/>
      <w:sz w:val="28"/>
      <w:szCs w:val="32"/>
    </w:rPr>
  </w:style>
  <w:style w:type="character" w:customStyle="1" w:styleId="26">
    <w:name w:val="标题 3 字符"/>
    <w:basedOn w:val="16"/>
    <w:link w:val="4"/>
    <w:semiHidden/>
    <w:qFormat/>
    <w:uiPriority w:val="9"/>
    <w:rPr>
      <w:rFonts w:ascii="仿宋_GB2312" w:hAnsi="仿宋_GB2312" w:eastAsia="仿宋_GB2312"/>
      <w:b/>
      <w:bCs/>
      <w:kern w:val="2"/>
      <w:sz w:val="28"/>
      <w:szCs w:val="32"/>
    </w:rPr>
  </w:style>
  <w:style w:type="character" w:customStyle="1" w:styleId="27">
    <w:name w:val="标题 4 Char1"/>
    <w:link w:val="5"/>
    <w:qFormat/>
    <w:uiPriority w:val="9"/>
    <w:rPr>
      <w:rFonts w:ascii="仿宋_GB2312" w:hAnsi="仿宋_GB2312" w:eastAsia="仿宋_GB231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50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2025-10-15T08:23:14Z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689969BA3F4C4F67909402F3258BF7E9_13</vt:lpwstr>
  </property>
  <property fmtid="{D5CDD505-2E9C-101B-9397-08002B2CF9AE}" pid="4" name="KSOTemplateDocerSaveRecord">
    <vt:lpwstr>eyJoZGlkIjoiMjIxMjI5YjhlNTAxYzUyOTYyYWZlMGFjYmE4ZTczY2EiLCJ1c2VySWQiOiIxNDU2NzYxMDUwIn0=</vt:lpwstr>
  </property>
</Properties>
</file>