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关于申报人形机器人产业打造创新策源平台项目支持资金的通知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根据《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石景山区人形机器人产业发展支持办法（试行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》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（石园科发〔2024〕1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号），现公开征集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202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人形机器人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产业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打造创新策源平台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项目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，有关事项通知如下：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Hans"/>
        </w:rPr>
        <w:t>一</w:t>
      </w:r>
      <w:r>
        <w:rPr>
          <w:rFonts w:hint="eastAsia" w:ascii="Times New Roman" w:hAnsi="Times New Roman" w:eastAsia="黑体"/>
          <w:sz w:val="32"/>
          <w:szCs w:val="32"/>
        </w:rPr>
        <w:t>、</w:t>
      </w:r>
      <w:r>
        <w:rPr>
          <w:rFonts w:ascii="Times New Roman" w:hAnsi="Times New Roman" w:eastAsia="黑体"/>
          <w:sz w:val="32"/>
          <w:szCs w:val="32"/>
        </w:rPr>
        <w:t>支持标准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对于新建或新认定的国家级或市级人形机器人相关重点实验室，经评定，按其研发及办公场地实际应用面积予以最高100%补贴支持，补贴面积不超过4000平方米，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eastAsia="仿宋_GB2312" w:cs="仿宋_GB2312"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予以每年不超过500万元运营经费支持，连续支持不超过三年。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2" w:firstLineChars="200"/>
        <w:jc w:val="left"/>
        <w:textAlignment w:val="auto"/>
        <w:outlineLvl w:val="9"/>
        <w:rPr>
          <w:rFonts w:hint="eastAsia" w:ascii="Times New Roman" w:hAnsi="Times New Roman" w:eastAsia="楷体_GB2312" w:cs="楷体_GB2312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（一）申报条件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国家级或市级重点实验室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建设运营主体明确，功能定位清晰，运行机制健全，专业服务能力突出，能够面向产业和企业提供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人形机器人相关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服务，对产业发展具有较强的支撑带动效果。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pacing w:val="8"/>
          <w:sz w:val="32"/>
          <w:szCs w:val="32"/>
          <w:highlight w:val="none"/>
          <w:shd w:val="clear" w:color="auto" w:fill="FFFFFF"/>
          <w:lang w:val="en-US" w:eastAsia="zh-CN"/>
        </w:rPr>
        <w:t>建设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国家级或市级重点实验室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研发及办公场地实际应用面积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以实际租赁协议、房屋产权证明等资料载明面积为准。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仿宋_GB2312"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3.运营经费主要包括仪器设备添置和维护费、科研项目支出、开放共享经费、日常运行开支等支出。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Cs/>
          <w:i w:val="0"/>
          <w:caps w:val="0"/>
          <w:color w:val="auto"/>
          <w:spacing w:val="0"/>
          <w:kern w:val="2"/>
          <w:sz w:val="32"/>
          <w:szCs w:val="32"/>
          <w:highlight w:val="none"/>
          <w:shd w:val="clear" w:color="auto" w:fill="auto"/>
          <w:lang w:val="en-US" w:eastAsia="zh-CN" w:bidi="ar"/>
        </w:rPr>
        <w:t>4.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申报单位具有完成项目的自筹资金、人才团队和技术储备；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申报的资质应是政策兑现年度内新获得的。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5.申报单位拥有健全的财务管理机构，具备完善的项目管理和财务管理制度，不得编报虚假预算、套取财政资金。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6.项目经费实行单独核算，确保专款专用，不得截留、挤占和挪用。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/>
          <w:kern w:val="0"/>
          <w:sz w:val="32"/>
          <w:szCs w:val="32"/>
          <w:lang w:val="en"/>
        </w:rPr>
      </w:pPr>
      <w:r>
        <w:rPr>
          <w:rFonts w:ascii="Times New Roman" w:hAnsi="Times New Roman" w:eastAsia="楷体"/>
          <w:kern w:val="0"/>
          <w:sz w:val="32"/>
          <w:szCs w:val="32"/>
        </w:rPr>
        <w:t>（一）在线申报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（见附件8）。申报材料包括如下：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  <w:t>《石景山区人形机器人产业打造创新策源平台项目支持资金申报书》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（word版和PDF盖章扫描版）（见附件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-1）；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报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提交含有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统一社会信用代码营业执照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正本或副本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扫描件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或电子营业执照的打印版加盖公章的扫描件；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3.银行出具的《开户许可证》（基本存款账户）或《基本存款账户信息》（加盖公章的清晰PDF扫描件），并填写《企业基本存款账户信息表》（word版，附件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4-2）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.申请国家级或市级重点实验室、创新平台及研究机构支持资金的需提供：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（1）已获得国家级或市级重点实验室、创新平台及研究机构资质认定的批复文件或建设任务书；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  <w:t>（2）场地租赁合同等（需体现租赁面积、租赁期限、租金标准等）；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（3）三年建设计划书，含有明确研究开发方向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及有关绩效情况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（4）批复的建设主体与运营主体不一致的，需提供授权证明；获得批复的联合建设主体之一申请的，需要其他单位提供授权证明。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诚信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承诺书（见附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楷体"/>
          <w:kern w:val="0"/>
          <w:sz w:val="32"/>
          <w:szCs w:val="32"/>
        </w:rPr>
      </w:pPr>
      <w:r>
        <w:rPr>
          <w:rFonts w:ascii="Times New Roman" w:hAnsi="Times New Roman" w:eastAsia="楷体"/>
          <w:kern w:val="0"/>
          <w:sz w:val="32"/>
          <w:szCs w:val="32"/>
        </w:rPr>
        <w:t>（二）书面材料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FF000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胶装成册，一式6份，并在封面、盖章处和骑缝处盖单位公章。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纸质版材料报送地址：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北京市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石景山区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八角西街40号3号楼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二层产业促进一科。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_GB2312" w:cs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在线申报截止时间：2025年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，逾期申报将视为储备项目，不列入本次评审范畴。纸质版材料报送时间另行通知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（一）现阶段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CN"/>
        </w:rPr>
        <w:t>或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“石景山区企业综合服务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平台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操作手册》。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咨询电话：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010-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68867190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申报平台技术支持电话：010-81925754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（工作日9:30-11:30，14:00-17:00）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Times New Roman" w:hAnsi="Times New Roman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附件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-1.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《石景山区人形机器人产业打造创新策源平台项目支持资金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申报书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1600" w:firstLineChars="5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-2.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企业基本存款账户信息表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4-3.诚信承诺书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righ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2025年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46720"/>
    <w:rsid w:val="0B75736F"/>
    <w:rsid w:val="0D00691D"/>
    <w:rsid w:val="0EAA7F49"/>
    <w:rsid w:val="135B30CE"/>
    <w:rsid w:val="2AF250E3"/>
    <w:rsid w:val="2D2C731A"/>
    <w:rsid w:val="3C812D24"/>
    <w:rsid w:val="4D623B61"/>
    <w:rsid w:val="5281686E"/>
    <w:rsid w:val="56E80F00"/>
    <w:rsid w:val="58BF6365"/>
    <w:rsid w:val="5CFF9EEE"/>
    <w:rsid w:val="6F856331"/>
    <w:rsid w:val="7805143E"/>
    <w:rsid w:val="78EA120D"/>
    <w:rsid w:val="79AB331A"/>
    <w:rsid w:val="DBF79E38"/>
    <w:rsid w:val="DF71E27E"/>
    <w:rsid w:val="EFBBDB03"/>
    <w:rsid w:val="FFEEC840"/>
    <w:rsid w:val="FFFB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qFormat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1703</Characters>
  <Lines>0</Lines>
  <Paragraphs>0</Paragraphs>
  <TotalTime>14</TotalTime>
  <ScaleCrop>false</ScaleCrop>
  <LinksUpToDate>false</LinksUpToDate>
  <CharactersWithSpaces>1730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Pumpkin</cp:lastModifiedBy>
  <dcterms:modified xsi:type="dcterms:W3CDTF">2025-10-11T10:02:06Z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eyJoZGlkIjoiMjQ3NjM0MGVlMDgyNzg3MzdmMzRjZjI2OWVjZTVhZTEiLCJ1c2VySWQiOiI1MjM5NTM5NjYifQ==</vt:lpwstr>
  </property>
  <property fmtid="{D5CDD505-2E9C-101B-9397-08002B2CF9AE}" pid="4" name="ICV">
    <vt:lpwstr>D7282769969A4E04AE7F5C2040FD63B9_13</vt:lpwstr>
  </property>
</Properties>
</file>