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9F1F4">
      <w:pPr>
        <w:ind w:firstLine="0" w:firstLineChars="0"/>
        <w:jc w:val="left"/>
        <w:rPr>
          <w:rFonts w:hint="eastAsia" w:ascii="黑体" w:hAnsi="黑体" w:eastAsia="黑体" w:cs="方正小标宋简体"/>
          <w:kern w:val="0"/>
          <w:lang w:bidi="ar"/>
        </w:rPr>
      </w:pPr>
      <w:r>
        <w:rPr>
          <w:rFonts w:hint="eastAsia" w:ascii="黑体" w:hAnsi="黑体" w:eastAsia="黑体" w:cs="方正小标宋简体"/>
          <w:kern w:val="0"/>
          <w:lang w:bidi="ar"/>
        </w:rPr>
        <w:t>附件1</w:t>
      </w:r>
    </w:p>
    <w:p w14:paraId="2F61A355">
      <w:pPr>
        <w:ind w:firstLine="0" w:firstLineChars="0"/>
        <w:jc w:val="center"/>
        <w:rPr>
          <w:rFonts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人工智能“模型券”专项奖励（揭榜挂帅</w:t>
      </w:r>
    </w:p>
    <w:p w14:paraId="23F6D60C">
      <w:pPr>
        <w:ind w:firstLine="0" w:firstLineChars="0"/>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方向）办事指南</w:t>
      </w:r>
    </w:p>
    <w:p w14:paraId="0ED68DA9">
      <w:pPr>
        <w:ind w:firstLine="0" w:firstLineChars="0"/>
        <w:jc w:val="left"/>
        <w:rPr>
          <w:rFonts w:hint="eastAsia" w:ascii="仿宋_GB2312" w:hAnsi="仿宋_GB2312" w:cs="仿宋_GB2312"/>
          <w:kern w:val="0"/>
          <w:lang w:bidi="ar"/>
        </w:rPr>
      </w:pPr>
    </w:p>
    <w:p w14:paraId="01EDC63D">
      <w:pPr>
        <w:ind w:firstLine="640"/>
        <w:outlineLvl w:val="0"/>
        <w:rPr>
          <w:rFonts w:hint="eastAsia" w:ascii="黑体" w:hAnsi="黑体" w:eastAsia="黑体" w:cs="黑体"/>
        </w:rPr>
      </w:pPr>
      <w:r>
        <w:rPr>
          <w:rFonts w:hint="eastAsia" w:ascii="黑体" w:hAnsi="黑体" w:eastAsia="黑体" w:cs="黑体"/>
        </w:rPr>
        <w:t>一、政策依据</w:t>
      </w:r>
    </w:p>
    <w:p w14:paraId="10045376">
      <w:pPr>
        <w:wordWrap w:val="0"/>
        <w:ind w:firstLine="640"/>
        <w:rPr>
          <w:rFonts w:hint="eastAsia" w:ascii="仿宋_GB2312" w:hAnsi="仿宋_GB2312" w:cs="仿宋_GB2312"/>
          <w:kern w:val="0"/>
          <w:lang w:bidi="ar"/>
        </w:rPr>
      </w:pPr>
      <w:r>
        <w:rPr>
          <w:rFonts w:hint="eastAsia" w:ascii="仿宋_GB2312" w:hAnsi="仿宋_GB2312" w:cs="仿宋_GB2312"/>
          <w:kern w:val="0"/>
          <w:lang w:bidi="ar"/>
        </w:rPr>
        <w:t>根据《北京经济技术开发区关于加快打造AI原生产业创新高地的若干政策》</w:t>
      </w:r>
      <w:r>
        <w:rPr>
          <w:rFonts w:hint="eastAsia" w:ascii="仿宋_GB2312" w:hAnsi="仿宋_GB2312" w:cs="仿宋_GB2312"/>
          <w:bCs/>
          <w:color w:val="000000"/>
          <w:kern w:val="0"/>
        </w:rPr>
        <w:t>（京技管发〔2024〕29号）中第八条“</w:t>
      </w:r>
      <w:r>
        <w:rPr>
          <w:rFonts w:hint="eastAsia" w:ascii="仿宋_GB2312" w:hAnsi="仿宋_GB2312" w:cs="仿宋_GB2312"/>
          <w:kern w:val="0"/>
          <w:lang w:bidi="ar"/>
        </w:rPr>
        <w:t>每年发放1亿元‘模型券’，对基于‘揭榜挂帅’、标杆型示范应用场景开展模型应用落地的用户单位,按照私有化部署、云化部署、API接口调用以及大模型一体机中的非硬件部分，给予实际完成合同金额50%，最高500万元的支持。</w:t>
      </w:r>
      <w:r>
        <w:rPr>
          <w:rFonts w:ascii="仿宋_GB2312" w:hAnsi="仿宋_GB2312" w:cs="仿宋_GB2312"/>
          <w:kern w:val="0"/>
          <w:lang w:bidi="ar"/>
        </w:rPr>
        <w:t>”</w:t>
      </w:r>
    </w:p>
    <w:p w14:paraId="7C32FB9F">
      <w:pPr>
        <w:wordWrap w:val="0"/>
        <w:ind w:firstLine="640"/>
        <w:outlineLvl w:val="0"/>
        <w:rPr>
          <w:rFonts w:hint="eastAsia" w:ascii="黑体" w:hAnsi="黑体" w:eastAsia="黑体" w:cs="黑体"/>
        </w:rPr>
      </w:pPr>
      <w:r>
        <w:rPr>
          <w:rFonts w:hint="eastAsia" w:ascii="黑体" w:hAnsi="黑体" w:eastAsia="黑体" w:cs="黑体"/>
        </w:rPr>
        <w:t>二、申报事项</w:t>
      </w:r>
    </w:p>
    <w:p w14:paraId="42244E90">
      <w:pPr>
        <w:wordWrap w:val="0"/>
        <w:ind w:firstLine="640"/>
        <w:rPr>
          <w:rFonts w:hint="eastAsia" w:ascii="仿宋_GB2312" w:hAnsi="仿宋_GB2312" w:cs="仿宋_GB2312"/>
          <w:kern w:val="0"/>
          <w:lang w:bidi="ar"/>
        </w:rPr>
      </w:pPr>
      <w:r>
        <w:rPr>
          <w:rFonts w:hint="eastAsia" w:ascii="仿宋_GB2312" w:hAnsi="仿宋_GB2312" w:cs="仿宋_GB2312"/>
          <w:kern w:val="0"/>
          <w:lang w:bidi="ar"/>
        </w:rPr>
        <w:t>人工智能“模型券”专项奖励（揭榜挂帅方向）</w:t>
      </w:r>
    </w:p>
    <w:p w14:paraId="0ACA7EEC">
      <w:pPr>
        <w:wordWrap w:val="0"/>
        <w:ind w:firstLine="640"/>
        <w:outlineLvl w:val="0"/>
        <w:rPr>
          <w:rFonts w:hint="eastAsia" w:ascii="黑体" w:hAnsi="黑体" w:eastAsia="黑体" w:cs="黑体"/>
          <w:kern w:val="0"/>
          <w:lang w:bidi="ar"/>
        </w:rPr>
      </w:pPr>
      <w:r>
        <w:rPr>
          <w:rFonts w:hint="eastAsia" w:ascii="黑体" w:hAnsi="黑体" w:eastAsia="黑体" w:cs="黑体"/>
          <w:kern w:val="0"/>
          <w:lang w:bidi="ar"/>
        </w:rPr>
        <w:t>三、申报条件</w:t>
      </w:r>
    </w:p>
    <w:p w14:paraId="6FDADF26">
      <w:pPr>
        <w:wordWrap w:val="0"/>
        <w:ind w:firstLine="640"/>
        <w:rPr>
          <w:rFonts w:hint="eastAsia" w:ascii="仿宋_GB2312" w:hAnsi="仿宋_GB2312" w:cs="仿宋_GB2312"/>
          <w:kern w:val="0"/>
          <w:lang w:bidi="ar"/>
        </w:rPr>
      </w:pPr>
      <w:r>
        <w:rPr>
          <w:rFonts w:hint="eastAsia" w:ascii="仿宋_GB2312" w:hAnsi="仿宋_GB2312" w:cs="仿宋_GB2312"/>
          <w:kern w:val="0"/>
          <w:lang w:bidi="ar"/>
        </w:rPr>
        <w:t>（一）申报主体为在亦庄新城225平方公里范围内实际经营，近3年无重大行政处罚记录和刑事犯罪记录，未列入严重违法失信主体名单的企事业单位及社会组织。</w:t>
      </w:r>
    </w:p>
    <w:p w14:paraId="22892FDB">
      <w:pPr>
        <w:wordWrap w:val="0"/>
        <w:ind w:firstLine="640"/>
        <w:rPr>
          <w:rFonts w:hint="eastAsia" w:ascii="仿宋_GB2312" w:hAnsi="仿宋_GB2312" w:cs="仿宋_GB2312"/>
        </w:rPr>
      </w:pPr>
      <w:r>
        <w:rPr>
          <w:rFonts w:hint="eastAsia" w:ascii="仿宋_GB2312" w:hAnsi="仿宋_GB2312" w:cs="仿宋_GB2312"/>
          <w:kern w:val="0"/>
          <w:lang w:bidi="ar"/>
        </w:rPr>
        <w:t>（二）申报主体应</w:t>
      </w:r>
      <w:r>
        <w:rPr>
          <w:rFonts w:hint="eastAsia"/>
        </w:rPr>
        <w:t>基于</w:t>
      </w:r>
      <w:r>
        <w:rPr>
          <w:rFonts w:hint="eastAsia" w:ascii="仿宋_GB2312" w:hAnsi="仿宋_GB2312" w:cs="仿宋_GB2312"/>
        </w:rPr>
        <w:t>北京·亦庄全域人工智能应用场景“揭榜挂帅”大赛及</w:t>
      </w:r>
      <w:r>
        <w:rPr>
          <w:rFonts w:hint="eastAsia"/>
        </w:rPr>
        <w:t>《北京亦庄“人工智能+”行动“揭榜挂帅”工作方案》（以下简称“工作方案”）</w:t>
      </w:r>
      <w:r>
        <w:rPr>
          <w:rFonts w:hint="eastAsia" w:ascii="仿宋_GB2312" w:hAnsi="仿宋_GB2312" w:cs="仿宋_GB2312"/>
        </w:rPr>
        <w:t>发布榜单，已经</w:t>
      </w:r>
      <w:r>
        <w:rPr>
          <w:rFonts w:hint="eastAsia" w:ascii="仿宋_GB2312" w:hAnsi="仿宋_GB2312" w:cs="仿宋_GB2312"/>
          <w:kern w:val="0"/>
          <w:lang w:bidi="ar"/>
        </w:rPr>
        <w:t>完成揭榜挂帅项目验收并基于揭榜方交付的产品开展应用，且</w:t>
      </w:r>
      <w:r>
        <w:rPr>
          <w:rFonts w:hint="eastAsia" w:ascii="仿宋_GB2312" w:hAnsi="仿宋_GB2312" w:cs="仿宋_GB2312"/>
        </w:rPr>
        <w:t>交付产品应为人工智能大模型或者基于人工智能大模型的服务。</w:t>
      </w:r>
    </w:p>
    <w:p w14:paraId="00AD8648">
      <w:pPr>
        <w:wordWrap w:val="0"/>
        <w:ind w:firstLine="640"/>
        <w:rPr>
          <w:rFonts w:hint="eastAsia" w:ascii="仿宋_GB2312" w:hAnsi="仿宋_GB2312" w:cs="仿宋_GB2312"/>
          <w:kern w:val="0"/>
          <w:lang w:bidi="ar"/>
        </w:rPr>
      </w:pPr>
      <w:r>
        <w:rPr>
          <w:rFonts w:hint="eastAsia" w:ascii="仿宋_GB2312" w:hAnsi="仿宋_GB2312" w:cs="仿宋_GB2312"/>
          <w:kern w:val="0"/>
          <w:lang w:bidi="ar"/>
        </w:rPr>
        <w:t>（三）申报主体与服务提供方为非关联企业，不存在直接或间接的控制关系或重大影响关系。</w:t>
      </w:r>
    </w:p>
    <w:p w14:paraId="171D07BE">
      <w:pPr>
        <w:wordWrap w:val="0"/>
        <w:ind w:firstLine="640"/>
        <w:rPr>
          <w:rFonts w:hint="eastAsia" w:ascii="仿宋_GB2312" w:hAnsi="仿宋_GB2312" w:cs="仿宋_GB2312"/>
        </w:rPr>
      </w:pPr>
      <w:r>
        <w:rPr>
          <w:rFonts w:hint="eastAsia" w:ascii="仿宋_GB2312" w:hAnsi="仿宋_GB2312" w:cs="仿宋_GB2312"/>
          <w:kern w:val="0"/>
          <w:lang w:bidi="ar"/>
        </w:rPr>
        <w:t>（四）</w:t>
      </w:r>
      <w:r>
        <w:rPr>
          <w:rFonts w:hint="eastAsia" w:ascii="仿宋_GB2312" w:hAnsi="仿宋_GB2312" w:cs="仿宋_GB2312"/>
        </w:rPr>
        <w:t>申报主体相关大模型应用未获得北京经济技术开发区其他财政资金支持。</w:t>
      </w:r>
    </w:p>
    <w:p w14:paraId="7343CD40">
      <w:pPr>
        <w:wordWrap w:val="0"/>
        <w:ind w:firstLine="640"/>
        <w:rPr>
          <w:rFonts w:hint="eastAsia" w:ascii="仿宋_GB2312" w:hAnsi="仿宋_GB2312" w:cs="仿宋_GB2312"/>
          <w:kern w:val="0"/>
          <w:lang w:bidi="ar"/>
        </w:rPr>
      </w:pPr>
      <w:r>
        <w:rPr>
          <w:rFonts w:hint="eastAsia" w:ascii="仿宋_GB2312" w:hAnsi="仿宋_GB2312" w:cs="仿宋_GB2312"/>
          <w:kern w:val="0"/>
          <w:lang w:bidi="ar"/>
        </w:rPr>
        <w:t>（五）</w:t>
      </w:r>
      <w:r>
        <w:rPr>
          <w:rFonts w:hint="eastAsia" w:ascii="仿宋_GB2312" w:hAnsi="仿宋_GB2312" w:cs="仿宋_GB2312"/>
        </w:rPr>
        <w:t>申报本方向专项奖励的企业不能同时申报</w:t>
      </w:r>
      <w:r>
        <w:rPr>
          <w:rFonts w:hint="eastAsia" w:ascii="仿宋_GB2312" w:hAnsi="仿宋_GB2312" w:cs="仿宋_GB2312"/>
          <w:kern w:val="0"/>
          <w:lang w:bidi="ar"/>
        </w:rPr>
        <w:t>人工智能“模型券”专项奖励（标杆型示范应用场景方向）</w:t>
      </w:r>
      <w:r>
        <w:rPr>
          <w:rFonts w:hint="eastAsia" w:ascii="仿宋_GB2312" w:hAnsi="仿宋_GB2312" w:cs="仿宋_GB2312"/>
        </w:rPr>
        <w:t>。</w:t>
      </w:r>
    </w:p>
    <w:p w14:paraId="78363103">
      <w:pPr>
        <w:wordWrap w:val="0"/>
        <w:ind w:firstLine="640"/>
        <w:outlineLvl w:val="0"/>
        <w:rPr>
          <w:rFonts w:hint="eastAsia" w:ascii="黑体" w:hAnsi="黑体" w:eastAsia="黑体" w:cs="黑体"/>
        </w:rPr>
      </w:pPr>
      <w:r>
        <w:rPr>
          <w:rFonts w:hint="eastAsia" w:ascii="黑体" w:hAnsi="黑体" w:eastAsia="黑体" w:cs="黑体"/>
        </w:rPr>
        <w:t>四、支持内容和标准</w:t>
      </w:r>
    </w:p>
    <w:p w14:paraId="6E1AE952">
      <w:pPr>
        <w:wordWrap w:val="0"/>
        <w:ind w:firstLine="640"/>
        <w:rPr>
          <w:rFonts w:hint="eastAsia" w:ascii="仿宋_GB2312" w:hAnsi="仿宋_GB2312" w:cs="仿宋_GB2312"/>
        </w:rPr>
      </w:pPr>
      <w:r>
        <w:rPr>
          <w:rFonts w:hint="eastAsia" w:ascii="仿宋_GB2312" w:hAnsi="仿宋_GB2312" w:cs="仿宋_GB2312"/>
        </w:rPr>
        <w:t>（一）揭榜挂帅项目支持范围为私有化部署、云化部署、API接口调用以及大模型一体机中的非硬件部分。</w:t>
      </w:r>
    </w:p>
    <w:p w14:paraId="18F3B0B0">
      <w:pPr>
        <w:wordWrap w:val="0"/>
        <w:ind w:firstLine="640"/>
        <w:rPr>
          <w:rFonts w:hint="eastAsia" w:ascii="仿宋_GB2312" w:hAnsi="仿宋_GB2312" w:cs="仿宋_GB2312"/>
        </w:rPr>
      </w:pPr>
      <w:r>
        <w:rPr>
          <w:rFonts w:hint="eastAsia" w:ascii="仿宋_GB2312" w:hAnsi="仿宋_GB2312" w:cs="仿宋_GB2312"/>
        </w:rPr>
        <w:t>（二）支持比例为实际完成合同金额中经专家认定为模型成本部分的50%，同一企业每个自然年兑付金额最高500万元。</w:t>
      </w:r>
    </w:p>
    <w:p w14:paraId="6F09D789">
      <w:pPr>
        <w:wordWrap w:val="0"/>
        <w:ind w:firstLine="640"/>
        <w:rPr>
          <w:rFonts w:hint="eastAsia" w:ascii="黑体" w:hAnsi="黑体" w:eastAsia="黑体" w:cs="仿宋_GB2312"/>
          <w:kern w:val="0"/>
          <w:lang w:bidi="ar"/>
        </w:rPr>
      </w:pPr>
      <w:r>
        <w:rPr>
          <w:rFonts w:hint="eastAsia" w:ascii="黑体" w:hAnsi="黑体" w:eastAsia="黑体" w:cs="仿宋_GB2312"/>
          <w:kern w:val="0"/>
          <w:lang w:bidi="ar"/>
        </w:rPr>
        <w:t>五、申报材料及要求</w:t>
      </w:r>
    </w:p>
    <w:p w14:paraId="233F9F3C">
      <w:pPr>
        <w:wordWrap w:val="0"/>
        <w:ind w:firstLine="640"/>
        <w:rPr>
          <w:rFonts w:hint="eastAsia" w:ascii="仿宋_GB2312" w:hAnsi="仿宋_GB2312" w:cs="仿宋_GB2312"/>
          <w:kern w:val="0"/>
          <w:lang w:bidi="ar"/>
        </w:rPr>
      </w:pPr>
      <w:r>
        <w:rPr>
          <w:rFonts w:hint="eastAsia" w:ascii="仿宋_GB2312" w:hAnsi="仿宋_GB2312" w:cs="仿宋_GB2312"/>
        </w:rPr>
        <w:t>1.</w:t>
      </w:r>
      <w:r>
        <w:rPr>
          <w:rFonts w:hint="eastAsia" w:ascii="仿宋_GB2312" w:hAnsi="仿宋_GB2312" w:cs="仿宋_GB2312"/>
          <w:kern w:val="0"/>
          <w:lang w:bidi="ar"/>
        </w:rPr>
        <w:t>人工智能“模型券”专项奖励（揭榜挂帅方向）申报表，在线填写；</w:t>
      </w:r>
    </w:p>
    <w:p w14:paraId="77F17EE0">
      <w:pPr>
        <w:wordWrap w:val="0"/>
        <w:ind w:firstLine="640"/>
        <w:rPr>
          <w:rFonts w:hint="eastAsia" w:ascii="仿宋_GB2312" w:hAnsi="仿宋_GB2312" w:cs="仿宋_GB2312"/>
          <w:kern w:val="0"/>
          <w:lang w:bidi="ar"/>
        </w:rPr>
      </w:pPr>
      <w:r>
        <w:rPr>
          <w:rFonts w:hint="eastAsia" w:ascii="仿宋_GB2312" w:hAnsi="仿宋_GB2312" w:cs="仿宋_GB2312"/>
        </w:rPr>
        <w:t>2.</w:t>
      </w:r>
      <w:r>
        <w:rPr>
          <w:rFonts w:hint="eastAsia" w:ascii="仿宋_GB2312" w:hAnsi="仿宋_GB2312" w:cs="仿宋_GB2312"/>
          <w:kern w:val="0"/>
          <w:lang w:bidi="ar"/>
        </w:rPr>
        <w:t>企业营业执照，选取电子证照；</w:t>
      </w:r>
    </w:p>
    <w:p w14:paraId="07F1085D">
      <w:pPr>
        <w:widowControl/>
        <w:wordWrap w:val="0"/>
        <w:ind w:firstLine="640"/>
        <w:rPr>
          <w:rFonts w:hint="eastAsia" w:ascii="仿宋_GB2312" w:hAnsi="仿宋_GB2312" w:cs="仿宋_GB2312"/>
          <w:kern w:val="0"/>
          <w:lang w:bidi="ar"/>
        </w:rPr>
      </w:pPr>
      <w:r>
        <w:rPr>
          <w:rFonts w:hint="eastAsia" w:ascii="仿宋_GB2312" w:hAnsi="仿宋_GB2312" w:cs="仿宋_GB2312"/>
        </w:rPr>
        <w:t>3.</w:t>
      </w:r>
      <w:r>
        <w:rPr>
          <w:rFonts w:hint="eastAsia" w:ascii="仿宋_GB2312" w:hAnsi="仿宋_GB2312" w:cs="仿宋_GB2312"/>
          <w:kern w:val="0"/>
          <w:lang w:bidi="ar"/>
        </w:rPr>
        <w:t>承诺书，下载模板填写，签字、加盖公章，彩色扫描上传；</w:t>
      </w:r>
    </w:p>
    <w:p w14:paraId="2E903DEC">
      <w:pPr>
        <w:wordWrap w:val="0"/>
        <w:ind w:firstLine="640"/>
        <w:rPr>
          <w:rFonts w:hint="eastAsia" w:ascii="仿宋_GB2312" w:hAnsi="仿宋_GB2312" w:cs="仿宋_GB2312"/>
          <w:kern w:val="0"/>
          <w:lang w:bidi="ar"/>
        </w:rPr>
      </w:pPr>
      <w:r>
        <w:rPr>
          <w:rFonts w:hint="eastAsia" w:ascii="仿宋_GB2312" w:hAnsi="仿宋_GB2312" w:cs="仿宋_GB2312"/>
        </w:rPr>
        <w:t>4.</w:t>
      </w:r>
      <w:r>
        <w:rPr>
          <w:rFonts w:hint="eastAsia" w:ascii="仿宋_GB2312" w:hAnsi="仿宋_GB2312" w:cs="仿宋_GB2312"/>
          <w:kern w:val="0"/>
          <w:lang w:bidi="ar"/>
        </w:rPr>
        <w:t>银行账户信息，下载模板填写，加盖公章，彩色扫描上传；</w:t>
      </w:r>
    </w:p>
    <w:p w14:paraId="2653B297">
      <w:pPr>
        <w:wordWrap w:val="0"/>
        <w:ind w:firstLine="640"/>
        <w:rPr>
          <w:rFonts w:hint="eastAsia" w:ascii="仿宋_GB2312" w:hAnsi="仿宋_GB2312" w:cs="仿宋_GB2312"/>
        </w:rPr>
      </w:pPr>
      <w:r>
        <w:rPr>
          <w:rFonts w:hint="eastAsia" w:ascii="仿宋_GB2312" w:hAnsi="仿宋_GB2312" w:cs="仿宋_GB2312"/>
        </w:rPr>
        <w:t>5.揭榜挂帅项目协议书，协议书需约定项目验收指标与项目预算。其中，验收指标需包括技术指标与产业化指标；预算需包含</w:t>
      </w:r>
      <w:bookmarkStart w:id="0" w:name="OLE_LINK1"/>
      <w:r>
        <w:rPr>
          <w:rFonts w:hint="eastAsia" w:ascii="仿宋_GB2312" w:hAnsi="仿宋_GB2312" w:cs="仿宋_GB2312"/>
        </w:rPr>
        <w:t>人力、算力、数据、软件、硬件</w:t>
      </w:r>
      <w:bookmarkEnd w:id="0"/>
      <w:r>
        <w:rPr>
          <w:rFonts w:hint="eastAsia" w:ascii="仿宋_GB2312" w:hAnsi="仿宋_GB2312" w:cs="仿宋_GB2312"/>
        </w:rPr>
        <w:t>等支出项目，原件彩色扫描上传；（协议书内容参考模板，要求重点覆盖、预算清晰；</w:t>
      </w:r>
      <w:r>
        <w:rPr>
          <w:rFonts w:hint="eastAsia" w:ascii="仿宋_GB2312" w:hAnsi="仿宋_GB2312" w:cs="仿宋_GB2312"/>
          <w:color w:val="000000"/>
        </w:rPr>
        <w:t>如缺少上述内容，需签订补充协议</w:t>
      </w:r>
      <w:r>
        <w:rPr>
          <w:rFonts w:hint="eastAsia" w:ascii="仿宋_GB2312" w:hAnsi="仿宋_GB2312" w:cs="仿宋_GB2312"/>
        </w:rPr>
        <w:t>）</w:t>
      </w:r>
    </w:p>
    <w:p w14:paraId="6887216E">
      <w:pPr>
        <w:wordWrap w:val="0"/>
        <w:ind w:firstLine="640"/>
        <w:rPr>
          <w:rFonts w:hint="eastAsia" w:ascii="仿宋_GB2312" w:hAnsi="仿宋_GB2312" w:cs="仿宋_GB2312"/>
        </w:rPr>
      </w:pPr>
      <w:r>
        <w:rPr>
          <w:rFonts w:hint="eastAsia" w:ascii="仿宋_GB2312" w:hAnsi="仿宋_GB2312" w:cs="仿宋_GB2312"/>
        </w:rPr>
        <w:t>6.与协议金额对应的发票及交易记录，原件</w:t>
      </w:r>
      <w:r>
        <w:rPr>
          <w:rFonts w:hint="eastAsia" w:ascii="仿宋_GB2312" w:hAnsi="仿宋_GB2312" w:cs="仿宋_GB2312"/>
          <w:kern w:val="0"/>
          <w:lang w:bidi="ar"/>
        </w:rPr>
        <w:t>彩色扫描上传；</w:t>
      </w:r>
    </w:p>
    <w:p w14:paraId="3BA08957">
      <w:pPr>
        <w:wordWrap w:val="0"/>
        <w:ind w:firstLine="640"/>
        <w:rPr>
          <w:rFonts w:hint="eastAsia" w:ascii="仿宋_GB2312" w:hAnsi="仿宋_GB2312" w:cs="仿宋_GB2312"/>
          <w:kern w:val="0"/>
          <w:lang w:bidi="ar"/>
        </w:rPr>
      </w:pPr>
      <w:r>
        <w:rPr>
          <w:rFonts w:hint="eastAsia" w:ascii="仿宋_GB2312" w:hAnsi="仿宋_GB2312" w:cs="仿宋_GB2312"/>
        </w:rPr>
        <w:t>7.项目验收报告，需包括项目决算、技术指标完成情况、产业化指标完成情况。其中，决算需包含人力、算力、数据、软件、硬件等支出项目；技术指标完成情况需提供功能介绍、模型参数等证明材料；产业化指标完成情况需提供应用案例、应用成效等证明材料，格式自拟，</w:t>
      </w:r>
      <w:r>
        <w:rPr>
          <w:rFonts w:hint="eastAsia" w:ascii="仿宋_GB2312" w:hAnsi="仿宋_GB2312" w:cs="仿宋_GB2312"/>
          <w:kern w:val="0"/>
          <w:lang w:bidi="ar"/>
        </w:rPr>
        <w:t>加盖公章，彩色扫描上传。</w:t>
      </w:r>
    </w:p>
    <w:p w14:paraId="5B2FB08B">
      <w:pPr>
        <w:wordWrap w:val="0"/>
        <w:ind w:firstLine="640"/>
        <w:outlineLvl w:val="0"/>
        <w:rPr>
          <w:rFonts w:hint="eastAsia" w:ascii="黑体" w:hAnsi="黑体" w:eastAsia="黑体" w:cs="黑体"/>
          <w:kern w:val="0"/>
          <w:lang w:bidi="ar"/>
        </w:rPr>
      </w:pPr>
      <w:r>
        <w:rPr>
          <w:rFonts w:hint="eastAsia" w:ascii="黑体" w:hAnsi="黑体" w:eastAsia="黑体" w:cs="黑体"/>
          <w:kern w:val="0"/>
          <w:lang w:bidi="ar"/>
        </w:rPr>
        <w:t>六、办理程序</w:t>
      </w:r>
    </w:p>
    <w:p w14:paraId="367F3211">
      <w:pPr>
        <w:pStyle w:val="8"/>
        <w:shd w:val="clear" w:color="auto" w:fill="FFFFFF"/>
        <w:wordWrap w:val="0"/>
        <w:spacing w:beforeAutospacing="0" w:afterAutospacing="0"/>
        <w:ind w:firstLine="640"/>
        <w:jc w:val="both"/>
        <w:rPr>
          <w:rFonts w:ascii="仿宋_GB2312" w:hAnsi="Segoe UI" w:cs="Segoe UI"/>
          <w:color w:val="000000"/>
          <w:sz w:val="32"/>
        </w:rPr>
      </w:pPr>
      <w:r>
        <w:rPr>
          <w:rFonts w:hint="eastAsia" w:ascii="仿宋_GB2312" w:hAnsi="微软雅黑" w:cs="Segoe UI"/>
          <w:color w:val="000000"/>
          <w:sz w:val="32"/>
        </w:rPr>
        <w:t>（一）</w:t>
      </w:r>
      <w:r>
        <w:rPr>
          <w:rFonts w:hint="eastAsia" w:ascii="仿宋_GB2312" w:hAnsi="微软雅黑" w:cs="Segoe UI"/>
          <w:b/>
          <w:bCs/>
          <w:color w:val="000000"/>
          <w:sz w:val="32"/>
        </w:rPr>
        <w:t>网上申报：</w:t>
      </w:r>
      <w:r>
        <w:rPr>
          <w:rFonts w:hint="eastAsia" w:ascii="仿宋_GB2312" w:hAnsi="仿宋_GB2312" w:cs="仿宋_GB2312"/>
          <w:sz w:val="32"/>
          <w:lang w:bidi="ar"/>
        </w:rPr>
        <w:t>申报主体</w:t>
      </w:r>
      <w:r>
        <w:rPr>
          <w:rFonts w:hint="eastAsia" w:ascii="仿宋_GB2312" w:hAnsi="仿宋_GB2312" w:cs="仿宋_GB2312"/>
          <w:color w:val="000000"/>
          <w:sz w:val="32"/>
        </w:rPr>
        <w:t>通过</w:t>
      </w:r>
      <w:r>
        <w:rPr>
          <w:rFonts w:hint="eastAsia" w:ascii="仿宋_GB2312" w:hAnsi="仿宋_GB2312" w:cs="仿宋_GB2312"/>
          <w:sz w:val="32"/>
        </w:rPr>
        <w:t>北京市人民政府门户网站“政策兑现”栏目（https://zhengce.beijing.gov.cn）或经开区官网“政策兑现”栏目（zcdx.kfqgw.beijing.gov.cn）进入政策兑现综合服务平台</w:t>
      </w:r>
      <w:r>
        <w:rPr>
          <w:rFonts w:hint="eastAsia" w:ascii="仿宋_GB2312" w:hAnsi="仿宋_GB2312" w:cs="仿宋_GB2312"/>
          <w:color w:val="000000"/>
          <w:sz w:val="32"/>
        </w:rPr>
        <w:t>，注册登录后进行项目申报。如未在规定时间内提交申请的，视为自动放弃。</w:t>
      </w:r>
    </w:p>
    <w:p w14:paraId="7ADA0948">
      <w:pPr>
        <w:pStyle w:val="8"/>
        <w:numPr>
          <w:ilvl w:val="255"/>
          <w:numId w:val="0"/>
        </w:numPr>
        <w:shd w:val="clear" w:color="auto" w:fill="FFFFFF"/>
        <w:wordWrap w:val="0"/>
        <w:spacing w:beforeAutospacing="0" w:afterAutospacing="0"/>
        <w:ind w:firstLine="640"/>
        <w:jc w:val="both"/>
        <w:rPr>
          <w:rFonts w:hint="eastAsia" w:ascii="仿宋_GB2312" w:hAnsi="仿宋_GB2312" w:cs="仿宋_GB2312"/>
          <w:color w:val="000000"/>
          <w:kern w:val="2"/>
          <w:sz w:val="32"/>
        </w:rPr>
      </w:pPr>
      <w:r>
        <w:rPr>
          <w:rFonts w:hint="eastAsia" w:ascii="仿宋_GB2312" w:hAnsi="微软雅黑" w:cs="Segoe UI"/>
          <w:color w:val="000000"/>
          <w:sz w:val="32"/>
        </w:rPr>
        <w:t>（二）</w:t>
      </w:r>
      <w:r>
        <w:rPr>
          <w:rFonts w:hint="eastAsia" w:ascii="仿宋_GB2312" w:hAnsi="微软雅黑" w:cs="Segoe UI"/>
          <w:b/>
          <w:bCs/>
          <w:color w:val="000000"/>
          <w:sz w:val="32"/>
        </w:rPr>
        <w:t>初审：</w:t>
      </w:r>
      <w:r>
        <w:rPr>
          <w:rFonts w:hint="eastAsia" w:ascii="仿宋_GB2312" w:hAnsi="仿宋_GB2312" w:cs="仿宋_GB2312"/>
          <w:color w:val="000000"/>
          <w:kern w:val="2"/>
          <w:sz w:val="32"/>
        </w:rPr>
        <w:t>经开区营商环境建设局对申报主</w:t>
      </w:r>
      <w:bookmarkStart w:id="1" w:name="_GoBack"/>
      <w:bookmarkEnd w:id="1"/>
      <w:r>
        <w:rPr>
          <w:rFonts w:hint="eastAsia" w:ascii="仿宋_GB2312" w:hAnsi="仿宋_GB2312" w:cs="仿宋_GB2312"/>
          <w:color w:val="000000"/>
          <w:kern w:val="2"/>
          <w:sz w:val="32"/>
        </w:rPr>
        <w:t>体提交的材料进行完整性审查，材料不齐全或不符合要求的，告知申报主体补齐补正。</w:t>
      </w:r>
    </w:p>
    <w:p w14:paraId="7E9FBE3D">
      <w:pPr>
        <w:pStyle w:val="8"/>
        <w:numPr>
          <w:ilvl w:val="255"/>
          <w:numId w:val="0"/>
        </w:numPr>
        <w:shd w:val="clear" w:color="auto" w:fill="FFFFFF"/>
        <w:wordWrap w:val="0"/>
        <w:spacing w:beforeAutospacing="0" w:afterAutospacing="0"/>
        <w:ind w:firstLine="640"/>
        <w:jc w:val="both"/>
        <w:rPr>
          <w:rFonts w:hint="eastAsia" w:ascii="仿宋_GB2312" w:hAnsi="仿宋_GB2312" w:cs="仿宋_GB2312"/>
          <w:color w:val="000000"/>
          <w:kern w:val="2"/>
          <w:sz w:val="32"/>
        </w:rPr>
      </w:pPr>
      <w:r>
        <w:rPr>
          <w:rFonts w:hint="eastAsia" w:ascii="仿宋_GB2312" w:hAnsi="仿宋_GB2312" w:cs="仿宋_GB2312"/>
          <w:color w:val="000000"/>
          <w:kern w:val="2"/>
          <w:sz w:val="32"/>
        </w:rPr>
        <w:t>（三）</w:t>
      </w:r>
      <w:r>
        <w:rPr>
          <w:rFonts w:hint="eastAsia" w:ascii="仿宋_GB2312" w:hAnsi="仿宋_GB2312" w:cs="仿宋_GB2312"/>
          <w:b/>
          <w:bCs/>
          <w:color w:val="000000"/>
          <w:kern w:val="2"/>
          <w:sz w:val="32"/>
        </w:rPr>
        <w:t>审核：</w:t>
      </w:r>
      <w:r>
        <w:rPr>
          <w:rFonts w:hint="eastAsia" w:ascii="仿宋_GB2312" w:hAnsi="仿宋_GB2312" w:cs="仿宋_GB2312"/>
          <w:color w:val="000000"/>
          <w:kern w:val="2"/>
          <w:sz w:val="32"/>
        </w:rPr>
        <w:t>经开区信息技术产业局对申请材料进行实质审核。</w:t>
      </w:r>
    </w:p>
    <w:p w14:paraId="0E36BAE9">
      <w:pPr>
        <w:wordWrap w:val="0"/>
        <w:ind w:firstLine="640"/>
        <w:rPr>
          <w:rFonts w:hint="eastAsia" w:ascii="仿宋_GB2312" w:hAnsi="仿宋_GB2312" w:cs="仿宋_GB2312"/>
          <w:kern w:val="0"/>
          <w:lang w:bidi="ar"/>
        </w:rPr>
      </w:pPr>
      <w:r>
        <w:rPr>
          <w:rFonts w:hint="eastAsia" w:ascii="仿宋_GB2312" w:hAnsi="微软雅黑" w:cs="Segoe UI"/>
          <w:color w:val="000000"/>
        </w:rPr>
        <w:t>（四）</w:t>
      </w:r>
      <w:r>
        <w:rPr>
          <w:rFonts w:hint="eastAsia" w:ascii="仿宋_GB2312" w:hAnsi="微软雅黑" w:cs="Segoe UI"/>
          <w:b/>
          <w:bCs/>
          <w:color w:val="000000"/>
        </w:rPr>
        <w:t>专家评审：</w:t>
      </w:r>
      <w:r>
        <w:rPr>
          <w:rFonts w:hint="eastAsia" w:ascii="仿宋_GB2312" w:hAnsi="仿宋_GB2312" w:cs="仿宋_GB2312"/>
          <w:color w:val="000000"/>
        </w:rPr>
        <w:t>经开区</w:t>
      </w:r>
      <w:r>
        <w:rPr>
          <w:rFonts w:hint="eastAsia" w:ascii="仿宋_GB2312" w:hAnsi="仿宋_GB2312" w:cs="仿宋_GB2312"/>
          <w:kern w:val="0"/>
          <w:lang w:bidi="ar"/>
        </w:rPr>
        <w:t>信息技术产业局组织专家对申请材料进行评审，评审后将结果上传到系统。</w:t>
      </w:r>
    </w:p>
    <w:p w14:paraId="7D42A9C1">
      <w:pPr>
        <w:pStyle w:val="8"/>
        <w:shd w:val="clear" w:color="auto" w:fill="FFFFFF"/>
        <w:wordWrap w:val="0"/>
        <w:spacing w:beforeAutospacing="0" w:afterAutospacing="0"/>
        <w:ind w:firstLine="640"/>
        <w:jc w:val="both"/>
        <w:rPr>
          <w:rFonts w:hint="eastAsia" w:ascii="仿宋_GB2312" w:hAnsi="仿宋_GB2312" w:cs="仿宋_GB2312"/>
          <w:color w:val="000000"/>
          <w:kern w:val="2"/>
          <w:sz w:val="32"/>
        </w:rPr>
      </w:pPr>
      <w:r>
        <w:rPr>
          <w:rFonts w:hint="eastAsia" w:ascii="仿宋_GB2312" w:hAnsi="微软雅黑" w:cs="Segoe UI"/>
          <w:color w:val="000000"/>
          <w:sz w:val="32"/>
        </w:rPr>
        <w:t>（五）</w:t>
      </w:r>
      <w:r>
        <w:rPr>
          <w:rFonts w:hint="eastAsia" w:ascii="仿宋_GB2312" w:hAnsi="微软雅黑" w:cs="Segoe UI"/>
          <w:b/>
          <w:bCs/>
          <w:color w:val="000000"/>
          <w:sz w:val="32"/>
        </w:rPr>
        <w:t>确定支持</w:t>
      </w:r>
      <w:r>
        <w:rPr>
          <w:rFonts w:hint="eastAsia" w:ascii="仿宋_GB2312" w:hAnsi="仿宋_GB2312" w:cs="仿宋_GB2312"/>
          <w:b/>
          <w:bCs/>
          <w:color w:val="000000"/>
          <w:kern w:val="2"/>
          <w:sz w:val="32"/>
        </w:rPr>
        <w:t>结果：</w:t>
      </w:r>
      <w:r>
        <w:rPr>
          <w:rFonts w:hint="eastAsia" w:ascii="仿宋_GB2312" w:hAnsi="仿宋_GB2312" w:cs="仿宋_GB2312"/>
          <w:color w:val="000000"/>
          <w:kern w:val="2"/>
          <w:sz w:val="32"/>
        </w:rPr>
        <w:t>经开区信息技术产业局对审核通过的申报主体拟定兑现支持奖励金额。</w:t>
      </w:r>
    </w:p>
    <w:p w14:paraId="543FED48">
      <w:pPr>
        <w:pStyle w:val="8"/>
        <w:shd w:val="clear" w:color="auto" w:fill="FFFFFF"/>
        <w:wordWrap w:val="0"/>
        <w:spacing w:beforeAutospacing="0" w:afterAutospacing="0"/>
        <w:ind w:firstLine="640"/>
        <w:jc w:val="both"/>
        <w:rPr>
          <w:rFonts w:hint="eastAsia" w:ascii="仿宋_GB2312" w:hAnsi="仿宋_GB2312" w:cs="仿宋_GB2312"/>
          <w:color w:val="000000"/>
          <w:kern w:val="2"/>
          <w:sz w:val="32"/>
        </w:rPr>
      </w:pPr>
      <w:r>
        <w:rPr>
          <w:rFonts w:hint="eastAsia" w:ascii="仿宋_GB2312" w:hAnsi="微软雅黑" w:cs="Segoe UI"/>
          <w:color w:val="000000"/>
          <w:sz w:val="32"/>
        </w:rPr>
        <w:t>（六）</w:t>
      </w:r>
      <w:r>
        <w:rPr>
          <w:rFonts w:hint="eastAsia" w:ascii="仿宋_GB2312" w:hAnsi="微软雅黑" w:cs="Segoe UI"/>
          <w:b/>
          <w:bCs/>
          <w:color w:val="000000"/>
          <w:sz w:val="32"/>
        </w:rPr>
        <w:t>公示：</w:t>
      </w:r>
      <w:r>
        <w:rPr>
          <w:rFonts w:hint="eastAsia" w:ascii="仿宋_GB2312" w:hAnsi="仿宋_GB2312" w:cs="仿宋_GB2312"/>
          <w:color w:val="000000"/>
          <w:kern w:val="2"/>
          <w:sz w:val="32"/>
        </w:rPr>
        <w:t>经开区信息技术产业局通过政策兑现综合服务平台对审核通过的申报主体进行公示。</w:t>
      </w:r>
    </w:p>
    <w:p w14:paraId="7762E11E">
      <w:pPr>
        <w:wordWrap w:val="0"/>
        <w:ind w:firstLine="640"/>
        <w:rPr>
          <w:rFonts w:ascii="仿宋_GB2312" w:hAnsi="Segoe UI" w:cs="Segoe UI"/>
          <w:color w:val="000000"/>
        </w:rPr>
      </w:pPr>
      <w:r>
        <w:rPr>
          <w:rFonts w:hint="eastAsia" w:ascii="仿宋_GB2312" w:hAnsi="微软雅黑" w:cs="Segoe UI"/>
          <w:color w:val="000000"/>
        </w:rPr>
        <w:t>（七）</w:t>
      </w:r>
      <w:r>
        <w:rPr>
          <w:rFonts w:hint="eastAsia" w:ascii="仿宋_GB2312" w:hAnsi="微软雅黑" w:cs="Segoe UI"/>
          <w:b/>
          <w:bCs/>
          <w:color w:val="000000"/>
        </w:rPr>
        <w:t>资金拨付：</w:t>
      </w:r>
      <w:r>
        <w:rPr>
          <w:rFonts w:hint="eastAsia" w:ascii="仿宋_GB2312" w:hAnsi="微软雅黑" w:cs="Segoe UI"/>
          <w:color w:val="000000"/>
        </w:rPr>
        <w:t>经公示无异议的，完成资金拨付。</w:t>
      </w:r>
    </w:p>
    <w:p w14:paraId="725860D8">
      <w:pPr>
        <w:wordWrap w:val="0"/>
        <w:ind w:firstLine="643"/>
        <w:outlineLvl w:val="0"/>
        <w:rPr>
          <w:rFonts w:hint="eastAsia" w:ascii="黑体" w:hAnsi="黑体" w:eastAsia="黑体" w:cs="黑体"/>
        </w:rPr>
      </w:pPr>
      <w:r>
        <w:rPr>
          <w:rFonts w:hint="eastAsia" w:ascii="仿宋_GB2312" w:hAnsi="仿宋_GB2312" w:cs="仿宋_GB2312"/>
          <w:b/>
          <w:bCs/>
          <w:kern w:val="0"/>
          <w:lang w:bidi="ar"/>
        </w:rPr>
        <w:t>七</w:t>
      </w:r>
      <w:r>
        <w:rPr>
          <w:rFonts w:hint="eastAsia" w:ascii="黑体" w:hAnsi="黑体" w:eastAsia="黑体" w:cs="黑体"/>
        </w:rPr>
        <w:t>、主责部门</w:t>
      </w:r>
    </w:p>
    <w:p w14:paraId="6111D37E">
      <w:pPr>
        <w:pStyle w:val="8"/>
        <w:shd w:val="clear" w:color="auto" w:fill="FFFFFF"/>
        <w:wordWrap w:val="0"/>
        <w:spacing w:beforeAutospacing="0" w:afterAutospacing="0"/>
        <w:ind w:firstLine="640"/>
        <w:jc w:val="both"/>
        <w:rPr>
          <w:rFonts w:ascii="仿宋_GB2312" w:hAnsi="Segoe UI" w:cs="Segoe UI"/>
          <w:color w:val="000000"/>
          <w:sz w:val="32"/>
        </w:rPr>
      </w:pPr>
      <w:r>
        <w:rPr>
          <w:rFonts w:hint="eastAsia" w:ascii="仿宋_GB2312" w:hAnsi="微软雅黑" w:cs="Segoe UI"/>
          <w:color w:val="000000"/>
          <w:sz w:val="32"/>
        </w:rPr>
        <w:t>经开区</w:t>
      </w:r>
      <w:r>
        <w:rPr>
          <w:rFonts w:hint="eastAsia" w:ascii="仿宋_GB2312" w:hAnsi="仿宋_GB2312" w:cs="仿宋_GB2312"/>
          <w:color w:val="000000"/>
          <w:kern w:val="2"/>
          <w:sz w:val="32"/>
        </w:rPr>
        <w:t>信息技术产业局</w:t>
      </w:r>
    </w:p>
    <w:p w14:paraId="08966EAD">
      <w:pPr>
        <w:wordWrap w:val="0"/>
        <w:ind w:firstLine="640"/>
        <w:outlineLvl w:val="0"/>
        <w:rPr>
          <w:rFonts w:hint="eastAsia" w:ascii="黑体" w:hAnsi="黑体" w:eastAsia="黑体" w:cs="黑体"/>
        </w:rPr>
      </w:pPr>
      <w:r>
        <w:rPr>
          <w:rFonts w:hint="eastAsia" w:ascii="黑体" w:hAnsi="黑体" w:eastAsia="黑体" w:cs="黑体"/>
        </w:rPr>
        <w:t>八、受理窗口</w:t>
      </w:r>
    </w:p>
    <w:p w14:paraId="1ED9EAFD">
      <w:pPr>
        <w:wordWrap w:val="0"/>
        <w:ind w:firstLine="640"/>
        <w:outlineLvl w:val="0"/>
        <w:rPr>
          <w:rFonts w:hint="eastAsia" w:ascii="仿宋_GB2312" w:hAnsi="仿宋_GB2312" w:cs="仿宋_GB2312"/>
        </w:rPr>
      </w:pPr>
      <w:r>
        <w:rPr>
          <w:rFonts w:hint="eastAsia" w:ascii="仿宋_GB2312" w:hAnsi="仿宋_GB2312" w:cs="仿宋_GB2312"/>
        </w:rPr>
        <w:t>北京经济技术开发区万源街4号政务服务大厅“政策申报”窗口</w:t>
      </w:r>
    </w:p>
    <w:p w14:paraId="07F925DB">
      <w:pPr>
        <w:wordWrap w:val="0"/>
        <w:ind w:firstLine="640"/>
        <w:outlineLvl w:val="0"/>
        <w:rPr>
          <w:rFonts w:hint="eastAsia" w:ascii="黑体" w:hAnsi="黑体" w:eastAsia="黑体" w:cs="黑体"/>
        </w:rPr>
      </w:pPr>
      <w:r>
        <w:rPr>
          <w:rFonts w:hint="eastAsia" w:ascii="黑体" w:hAnsi="黑体" w:eastAsia="黑体" w:cs="黑体"/>
        </w:rPr>
        <w:t>九、申报时间</w:t>
      </w:r>
    </w:p>
    <w:p w14:paraId="2630EF31">
      <w:pPr>
        <w:pStyle w:val="8"/>
        <w:shd w:val="clear" w:color="auto" w:fill="FFFFFF"/>
        <w:wordWrap w:val="0"/>
        <w:spacing w:beforeAutospacing="0" w:afterAutospacing="0"/>
        <w:ind w:firstLine="640"/>
        <w:jc w:val="both"/>
        <w:rPr>
          <w:rFonts w:hint="eastAsia" w:ascii="仿宋_GB2312" w:hAnsi="仿宋_GB2312" w:cs="仿宋_GB2312"/>
          <w:sz w:val="32"/>
          <w:lang w:bidi="ar"/>
        </w:rPr>
      </w:pPr>
      <w:r>
        <w:rPr>
          <w:rFonts w:hint="eastAsia" w:ascii="仿宋_GB2312" w:hAnsi="仿宋_GB2312" w:cs="仿宋_GB2312"/>
          <w:sz w:val="32"/>
          <w:lang w:bidi="ar"/>
        </w:rPr>
        <w:t>2025年9月1日至2025年9月</w:t>
      </w:r>
      <w:r>
        <w:rPr>
          <w:rFonts w:hint="eastAsia" w:ascii="仿宋_GB2312" w:hAnsi="仿宋_GB2312" w:cs="仿宋_GB2312"/>
          <w:sz w:val="32"/>
          <w:lang w:val="en-US" w:eastAsia="zh-CN" w:bidi="ar"/>
        </w:rPr>
        <w:t>30</w:t>
      </w:r>
      <w:r>
        <w:rPr>
          <w:rFonts w:hint="eastAsia" w:ascii="仿宋_GB2312" w:hAnsi="仿宋_GB2312" w:cs="仿宋_GB2312"/>
          <w:sz w:val="32"/>
          <w:lang w:bidi="ar"/>
        </w:rPr>
        <w:t>日</w:t>
      </w:r>
    </w:p>
    <w:p w14:paraId="1A1CAB12">
      <w:pPr>
        <w:wordWrap w:val="0"/>
        <w:ind w:firstLine="640"/>
        <w:outlineLvl w:val="0"/>
        <w:rPr>
          <w:rFonts w:hint="eastAsia" w:ascii="黑体" w:hAnsi="黑体" w:eastAsia="黑体" w:cs="黑体"/>
        </w:rPr>
      </w:pPr>
      <w:r>
        <w:rPr>
          <w:rFonts w:hint="eastAsia" w:ascii="黑体" w:hAnsi="黑体" w:eastAsia="黑体" w:cs="黑体"/>
        </w:rPr>
        <w:t>十、联系方式</w:t>
      </w:r>
    </w:p>
    <w:p w14:paraId="7D8E37B3">
      <w:pPr>
        <w:wordWrap w:val="0"/>
        <w:ind w:firstLine="640"/>
        <w:outlineLvl w:val="0"/>
        <w:rPr>
          <w:rFonts w:ascii="仿宋_GB2312" w:hAnsi="Segoe UI" w:cs="Segoe UI"/>
        </w:rPr>
      </w:pPr>
      <w:r>
        <w:rPr>
          <w:rFonts w:hint="eastAsia" w:ascii="仿宋_GB2312" w:hAnsi="Segoe UI" w:cs="Segoe UI"/>
        </w:rPr>
        <w:t>政策咨询：</w:t>
      </w:r>
    </w:p>
    <w:p w14:paraId="14379176">
      <w:pPr>
        <w:wordWrap w:val="0"/>
        <w:ind w:firstLine="640"/>
        <w:outlineLvl w:val="0"/>
        <w:rPr>
          <w:rFonts w:ascii="仿宋_GB2312" w:hAnsi="Segoe UI" w:cs="Segoe UI"/>
        </w:rPr>
      </w:pPr>
      <w:r>
        <w:rPr>
          <w:rFonts w:hint="eastAsia" w:ascii="仿宋_GB2312" w:hAnsi="Segoe UI" w:cs="Segoe UI"/>
        </w:rPr>
        <w:t>经开区政务服务大厅“政策申报”窗口，联系电话：010-67857687；010-67857878转4，工作日上午9:00—12:00，下午1:30—5:00。</w:t>
      </w:r>
    </w:p>
    <w:p w14:paraId="23D21D6F">
      <w:pPr>
        <w:wordWrap w:val="0"/>
        <w:ind w:firstLine="640"/>
        <w:outlineLvl w:val="0"/>
        <w:rPr>
          <w:rFonts w:ascii="仿宋_GB2312" w:hAnsi="Segoe UI" w:cs="Segoe UI"/>
        </w:rPr>
      </w:pPr>
      <w:r>
        <w:rPr>
          <w:rFonts w:hint="eastAsia" w:ascii="仿宋_GB2312" w:hAnsi="Segoe UI" w:cs="Segoe UI"/>
        </w:rPr>
        <w:t>经开区信息技术产业局，联系人：凌晨，联系电话：010</w:t>
      </w:r>
      <w:r>
        <w:rPr>
          <w:rFonts w:hint="eastAsia" w:ascii="仿宋_GB2312" w:hAnsi="Segoe UI" w:cs="Segoe UI"/>
          <w:highlight w:val="none"/>
        </w:rPr>
        <w:t>-</w:t>
      </w:r>
      <w:r>
        <w:rPr>
          <w:rFonts w:hint="eastAsia" w:ascii="仿宋_GB2312" w:hAnsi="仿宋_GB2312" w:eastAsia="仿宋_GB2312" w:cs="仿宋_GB2312"/>
          <w:color w:val="000000"/>
          <w:sz w:val="32"/>
          <w:szCs w:val="32"/>
          <w:lang w:val="en-US" w:eastAsia="zh-CN"/>
        </w:rPr>
        <w:t>83508302</w:t>
      </w:r>
      <w:r>
        <w:rPr>
          <w:rFonts w:hint="eastAsia" w:ascii="仿宋_GB2312" w:hAnsi="Segoe UI" w:cs="Segoe UI"/>
        </w:rPr>
        <w:t>，工作日上午9:00—12:00，下午2:00—6:00。</w:t>
      </w:r>
    </w:p>
    <w:p w14:paraId="0076FC03">
      <w:pPr>
        <w:wordWrap w:val="0"/>
        <w:ind w:firstLine="640"/>
        <w:outlineLvl w:val="0"/>
        <w:rPr>
          <w:rFonts w:ascii="仿宋_GB2312" w:hAnsi="Segoe UI" w:cs="Segoe UI"/>
        </w:rPr>
      </w:pPr>
      <w:r>
        <w:rPr>
          <w:rFonts w:hint="eastAsia" w:ascii="仿宋_GB2312" w:hAnsi="Segoe UI" w:cs="Segoe UI"/>
        </w:rPr>
        <w:t>技术支持：</w:t>
      </w:r>
    </w:p>
    <w:p w14:paraId="520E5063">
      <w:pPr>
        <w:wordWrap w:val="0"/>
        <w:ind w:firstLine="640"/>
        <w:outlineLvl w:val="0"/>
        <w:rPr>
          <w:rFonts w:ascii="仿宋_GB2312" w:hAnsi="Segoe UI" w:cs="Segoe UI"/>
        </w:rPr>
      </w:pPr>
      <w:r>
        <w:rPr>
          <w:rFonts w:hint="eastAsia" w:ascii="仿宋_GB2312" w:hAnsi="Segoe UI" w:cs="Segoe UI"/>
        </w:rPr>
        <w:t>联系电话：010-</w:t>
      </w:r>
      <w:r>
        <w:rPr>
          <w:rFonts w:hint="eastAsia" w:ascii="仿宋_GB2312" w:hAnsi="Segoe UI" w:cs="Segoe UI"/>
          <w:lang w:val="en-US" w:eastAsia="zh-CN"/>
        </w:rPr>
        <w:t>83509</w:t>
      </w:r>
      <w:r>
        <w:rPr>
          <w:rFonts w:hint="eastAsia" w:ascii="仿宋_GB2312" w:hAnsi="Segoe UI" w:cs="Segoe UI"/>
        </w:rPr>
        <w:t>638，工作日上午9:00—12:00，下午2:00—6:00。</w:t>
      </w:r>
    </w:p>
    <w:p w14:paraId="7CB97AAC">
      <w:pPr>
        <w:wordWrap w:val="0"/>
        <w:ind w:firstLine="640"/>
        <w:rPr>
          <w:rFonts w:hint="eastAsia" w:ascii="黑体" w:hAnsi="黑体" w:eastAsia="黑体" w:cs="仿宋_GB2312"/>
        </w:rPr>
      </w:pPr>
      <w:r>
        <w:rPr>
          <w:rFonts w:hint="eastAsia" w:ascii="黑体" w:hAnsi="黑体" w:eastAsia="黑体" w:cs="仿宋_GB2312"/>
        </w:rPr>
        <w:t>十一、收费标准</w:t>
      </w:r>
    </w:p>
    <w:p w14:paraId="2B9420F6">
      <w:pPr>
        <w:wordWrap w:val="0"/>
        <w:ind w:firstLine="640"/>
        <w:rPr>
          <w:rFonts w:hint="eastAsia" w:ascii="仿宋_GB2312" w:hAnsi="黑体" w:cs="仿宋_GB2312"/>
        </w:rPr>
      </w:pPr>
      <w:r>
        <w:rPr>
          <w:rFonts w:hint="eastAsia" w:ascii="仿宋_GB2312" w:hAnsi="黑体" w:cs="仿宋_GB2312"/>
        </w:rPr>
        <w:t>不收费</w:t>
      </w:r>
    </w:p>
    <w:p w14:paraId="571E4CCF">
      <w:pPr>
        <w:wordWrap w:val="0"/>
        <w:ind w:firstLine="640"/>
        <w:rPr>
          <w:rFonts w:hint="eastAsia" w:ascii="黑体" w:hAnsi="黑体" w:eastAsia="黑体" w:cs="仿宋_GB2312"/>
        </w:rPr>
      </w:pPr>
      <w:r>
        <w:rPr>
          <w:rFonts w:hint="eastAsia" w:ascii="黑体" w:hAnsi="黑体" w:eastAsia="黑体" w:cs="仿宋_GB2312"/>
        </w:rPr>
        <w:t>十二、特别说明</w:t>
      </w:r>
    </w:p>
    <w:p w14:paraId="04AB5C14">
      <w:pPr>
        <w:wordWrap w:val="0"/>
        <w:ind w:firstLine="640" w:firstLineChars="0"/>
        <w:rPr>
          <w:rFonts w:hint="eastAsia" w:ascii="黑体" w:hAnsi="黑体" w:eastAsia="黑体" w:cs="黑体"/>
        </w:rPr>
      </w:pPr>
      <w:r>
        <w:rPr>
          <w:rFonts w:hint="eastAsia" w:ascii="仿宋_GB2312" w:hAnsi="黑体" w:cs="仿宋_GB2312"/>
        </w:rPr>
        <w:t>无</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EE5210-1DD4-45BF-8193-619053F2F5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008071B-1C6E-481B-BB61-8E03C17D932B}"/>
  </w:font>
  <w:font w:name="华文新魏">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embedRegular r:id="rId3" w:fontKey="{9944B2BF-0962-49EC-B247-FF4EAEF3A93D}"/>
  </w:font>
  <w:font w:name="微软雅黑">
    <w:panose1 w:val="020B0503020204020204"/>
    <w:charset w:val="86"/>
    <w:family w:val="swiss"/>
    <w:pitch w:val="default"/>
    <w:sig w:usb0="80000287" w:usb1="2ACF3C50" w:usb2="00000016" w:usb3="00000000" w:csb0="0004001F" w:csb1="00000000"/>
    <w:embedRegular r:id="rId4" w:fontKey="{E1E81E62-0E63-49A6-9154-6EFEFDBA7B2E}"/>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61477">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38868">
                          <w:pPr>
                            <w:pStyle w:val="4"/>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DD38868">
                    <w:pPr>
                      <w:pStyle w:val="4"/>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48888">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D42ED">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DDF8D">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66F02">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B87B2">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MTEyMzlhM2ZkMjU2YzAyOTFjZDEwODIzNDE3Y2YifQ=="/>
  </w:docVars>
  <w:rsids>
    <w:rsidRoot w:val="66E370C7"/>
    <w:rsid w:val="000060AE"/>
    <w:rsid w:val="000476BA"/>
    <w:rsid w:val="000F408B"/>
    <w:rsid w:val="00150DE3"/>
    <w:rsid w:val="001659C9"/>
    <w:rsid w:val="00172C5C"/>
    <w:rsid w:val="001A40C1"/>
    <w:rsid w:val="001C4B5B"/>
    <w:rsid w:val="00301DE1"/>
    <w:rsid w:val="00371AB1"/>
    <w:rsid w:val="003A7879"/>
    <w:rsid w:val="003C41DD"/>
    <w:rsid w:val="003C468C"/>
    <w:rsid w:val="003E3918"/>
    <w:rsid w:val="003F23F1"/>
    <w:rsid w:val="00401BF0"/>
    <w:rsid w:val="00440B25"/>
    <w:rsid w:val="00461AB8"/>
    <w:rsid w:val="00473E47"/>
    <w:rsid w:val="004A4BA3"/>
    <w:rsid w:val="004E50E8"/>
    <w:rsid w:val="00510A9C"/>
    <w:rsid w:val="005325C9"/>
    <w:rsid w:val="005D31FB"/>
    <w:rsid w:val="0060504E"/>
    <w:rsid w:val="006C6C51"/>
    <w:rsid w:val="006D072C"/>
    <w:rsid w:val="00706E0A"/>
    <w:rsid w:val="00721A7E"/>
    <w:rsid w:val="0074140A"/>
    <w:rsid w:val="00747366"/>
    <w:rsid w:val="007A69DC"/>
    <w:rsid w:val="007B36D6"/>
    <w:rsid w:val="007C4529"/>
    <w:rsid w:val="00884AE1"/>
    <w:rsid w:val="00901279"/>
    <w:rsid w:val="00911E0F"/>
    <w:rsid w:val="009C652A"/>
    <w:rsid w:val="009F2924"/>
    <w:rsid w:val="00A1389D"/>
    <w:rsid w:val="00A430FD"/>
    <w:rsid w:val="00A57187"/>
    <w:rsid w:val="00A83EF0"/>
    <w:rsid w:val="00AC2F66"/>
    <w:rsid w:val="00AF3215"/>
    <w:rsid w:val="00AF6D70"/>
    <w:rsid w:val="00B152F5"/>
    <w:rsid w:val="00B3246B"/>
    <w:rsid w:val="00B42DC2"/>
    <w:rsid w:val="00BA7E6A"/>
    <w:rsid w:val="00BE11F6"/>
    <w:rsid w:val="00C050DE"/>
    <w:rsid w:val="00C20FA1"/>
    <w:rsid w:val="00C36E43"/>
    <w:rsid w:val="00C42F18"/>
    <w:rsid w:val="00CC4929"/>
    <w:rsid w:val="00D0706D"/>
    <w:rsid w:val="00D71E4B"/>
    <w:rsid w:val="00DF4AA6"/>
    <w:rsid w:val="00E54804"/>
    <w:rsid w:val="00E57D89"/>
    <w:rsid w:val="00EA5B08"/>
    <w:rsid w:val="00F32A83"/>
    <w:rsid w:val="00F50AA7"/>
    <w:rsid w:val="00F60AE8"/>
    <w:rsid w:val="00F93ECF"/>
    <w:rsid w:val="00FF7C32"/>
    <w:rsid w:val="01145609"/>
    <w:rsid w:val="012069B2"/>
    <w:rsid w:val="01714809"/>
    <w:rsid w:val="017442FA"/>
    <w:rsid w:val="01891B53"/>
    <w:rsid w:val="01A00C4B"/>
    <w:rsid w:val="01B06141"/>
    <w:rsid w:val="0217530D"/>
    <w:rsid w:val="02671768"/>
    <w:rsid w:val="039F7177"/>
    <w:rsid w:val="03D374CB"/>
    <w:rsid w:val="04675A50"/>
    <w:rsid w:val="04AE18D1"/>
    <w:rsid w:val="052676B9"/>
    <w:rsid w:val="053F093C"/>
    <w:rsid w:val="05972365"/>
    <w:rsid w:val="05C84C14"/>
    <w:rsid w:val="064A12E8"/>
    <w:rsid w:val="06E60CAB"/>
    <w:rsid w:val="07095017"/>
    <w:rsid w:val="072D11D3"/>
    <w:rsid w:val="074958E1"/>
    <w:rsid w:val="083E2F6B"/>
    <w:rsid w:val="0854278F"/>
    <w:rsid w:val="085B3B1D"/>
    <w:rsid w:val="087C6411"/>
    <w:rsid w:val="08D20F96"/>
    <w:rsid w:val="094E3069"/>
    <w:rsid w:val="0A1C1550"/>
    <w:rsid w:val="0ABD0ABF"/>
    <w:rsid w:val="0B136931"/>
    <w:rsid w:val="0B28341B"/>
    <w:rsid w:val="0B7F42FD"/>
    <w:rsid w:val="0C1C1816"/>
    <w:rsid w:val="0C7E6A52"/>
    <w:rsid w:val="0D545E2B"/>
    <w:rsid w:val="0DDA3736"/>
    <w:rsid w:val="0E3A6C88"/>
    <w:rsid w:val="0E4F3E3E"/>
    <w:rsid w:val="0E6C2B0B"/>
    <w:rsid w:val="0E8C2C83"/>
    <w:rsid w:val="10697C49"/>
    <w:rsid w:val="10F22B45"/>
    <w:rsid w:val="11056D1C"/>
    <w:rsid w:val="113D6915"/>
    <w:rsid w:val="12B2579C"/>
    <w:rsid w:val="12BB1070"/>
    <w:rsid w:val="134156A5"/>
    <w:rsid w:val="13C05E66"/>
    <w:rsid w:val="13EB21F9"/>
    <w:rsid w:val="13F82B68"/>
    <w:rsid w:val="14603640"/>
    <w:rsid w:val="147C5547"/>
    <w:rsid w:val="14802F8A"/>
    <w:rsid w:val="14887B9C"/>
    <w:rsid w:val="149C43BD"/>
    <w:rsid w:val="15415191"/>
    <w:rsid w:val="15657D89"/>
    <w:rsid w:val="157F3975"/>
    <w:rsid w:val="159D2F53"/>
    <w:rsid w:val="163E2900"/>
    <w:rsid w:val="167F520B"/>
    <w:rsid w:val="168E50BE"/>
    <w:rsid w:val="16910950"/>
    <w:rsid w:val="17416F50"/>
    <w:rsid w:val="17CF598E"/>
    <w:rsid w:val="183A07EC"/>
    <w:rsid w:val="18633EF6"/>
    <w:rsid w:val="196E66EE"/>
    <w:rsid w:val="19F93535"/>
    <w:rsid w:val="1B442115"/>
    <w:rsid w:val="1C4E226B"/>
    <w:rsid w:val="1C5741A2"/>
    <w:rsid w:val="1CB83695"/>
    <w:rsid w:val="1D351986"/>
    <w:rsid w:val="1DCF0496"/>
    <w:rsid w:val="1E960FB4"/>
    <w:rsid w:val="1ECF0BC9"/>
    <w:rsid w:val="1EDC730E"/>
    <w:rsid w:val="1EE2244B"/>
    <w:rsid w:val="1F330EF8"/>
    <w:rsid w:val="1F8E612F"/>
    <w:rsid w:val="202A38FF"/>
    <w:rsid w:val="208C7002"/>
    <w:rsid w:val="20914128"/>
    <w:rsid w:val="209E23A2"/>
    <w:rsid w:val="2110329F"/>
    <w:rsid w:val="211A411E"/>
    <w:rsid w:val="211E0BC7"/>
    <w:rsid w:val="213B4094"/>
    <w:rsid w:val="21A22C51"/>
    <w:rsid w:val="21F14A0A"/>
    <w:rsid w:val="220303C0"/>
    <w:rsid w:val="225718ED"/>
    <w:rsid w:val="2260179A"/>
    <w:rsid w:val="229C520D"/>
    <w:rsid w:val="234A2F63"/>
    <w:rsid w:val="24121EBE"/>
    <w:rsid w:val="25F50CB6"/>
    <w:rsid w:val="26DA5E4E"/>
    <w:rsid w:val="26E01966"/>
    <w:rsid w:val="26E256DE"/>
    <w:rsid w:val="270D09DA"/>
    <w:rsid w:val="27361586"/>
    <w:rsid w:val="276458B0"/>
    <w:rsid w:val="28724840"/>
    <w:rsid w:val="295201CD"/>
    <w:rsid w:val="297928BC"/>
    <w:rsid w:val="2B04519F"/>
    <w:rsid w:val="2B69017C"/>
    <w:rsid w:val="2C9D104A"/>
    <w:rsid w:val="2CAB7DFE"/>
    <w:rsid w:val="2CB82A3D"/>
    <w:rsid w:val="2D216D06"/>
    <w:rsid w:val="2D801C01"/>
    <w:rsid w:val="2D88240F"/>
    <w:rsid w:val="2ED551CF"/>
    <w:rsid w:val="2F087CAC"/>
    <w:rsid w:val="2FA51AB8"/>
    <w:rsid w:val="2FF02762"/>
    <w:rsid w:val="30110D0C"/>
    <w:rsid w:val="308C0779"/>
    <w:rsid w:val="30A3443C"/>
    <w:rsid w:val="30FA1876"/>
    <w:rsid w:val="31A2402A"/>
    <w:rsid w:val="322A7F39"/>
    <w:rsid w:val="32F9614F"/>
    <w:rsid w:val="33492641"/>
    <w:rsid w:val="34337579"/>
    <w:rsid w:val="34D16D92"/>
    <w:rsid w:val="36683024"/>
    <w:rsid w:val="36A64625"/>
    <w:rsid w:val="36BA3A34"/>
    <w:rsid w:val="377A0694"/>
    <w:rsid w:val="37BC2B2A"/>
    <w:rsid w:val="37C4673A"/>
    <w:rsid w:val="381E22EE"/>
    <w:rsid w:val="389D76B7"/>
    <w:rsid w:val="38D676C9"/>
    <w:rsid w:val="39096AFA"/>
    <w:rsid w:val="39D07618"/>
    <w:rsid w:val="3A8723CC"/>
    <w:rsid w:val="3A8A302C"/>
    <w:rsid w:val="3AC05299"/>
    <w:rsid w:val="3B702660"/>
    <w:rsid w:val="3C4D31A2"/>
    <w:rsid w:val="3C4D6CFE"/>
    <w:rsid w:val="3CC72F54"/>
    <w:rsid w:val="3D593978"/>
    <w:rsid w:val="3D5F1CE6"/>
    <w:rsid w:val="3D7F382F"/>
    <w:rsid w:val="3D950107"/>
    <w:rsid w:val="3DDB6A79"/>
    <w:rsid w:val="3E2967A4"/>
    <w:rsid w:val="3E2A68AD"/>
    <w:rsid w:val="3EF21DDE"/>
    <w:rsid w:val="3FE336AF"/>
    <w:rsid w:val="3FEE25A6"/>
    <w:rsid w:val="3FFFC027"/>
    <w:rsid w:val="404B3E9C"/>
    <w:rsid w:val="40C450C0"/>
    <w:rsid w:val="41BC3913"/>
    <w:rsid w:val="41D85CE4"/>
    <w:rsid w:val="42684278"/>
    <w:rsid w:val="42977F42"/>
    <w:rsid w:val="42CF7339"/>
    <w:rsid w:val="42D0773C"/>
    <w:rsid w:val="42D84E8A"/>
    <w:rsid w:val="4315338C"/>
    <w:rsid w:val="43CA5EC6"/>
    <w:rsid w:val="440D0697"/>
    <w:rsid w:val="444D4748"/>
    <w:rsid w:val="44906321"/>
    <w:rsid w:val="4504461A"/>
    <w:rsid w:val="45065C30"/>
    <w:rsid w:val="45216F7A"/>
    <w:rsid w:val="45464C32"/>
    <w:rsid w:val="45490368"/>
    <w:rsid w:val="45B85B30"/>
    <w:rsid w:val="45E00219"/>
    <w:rsid w:val="45E06E35"/>
    <w:rsid w:val="46024FFD"/>
    <w:rsid w:val="466834EE"/>
    <w:rsid w:val="4717047D"/>
    <w:rsid w:val="47354126"/>
    <w:rsid w:val="47663A31"/>
    <w:rsid w:val="47A125F4"/>
    <w:rsid w:val="47E96C73"/>
    <w:rsid w:val="48F350D1"/>
    <w:rsid w:val="49276B29"/>
    <w:rsid w:val="4A325785"/>
    <w:rsid w:val="4A3F11C0"/>
    <w:rsid w:val="4AA0390E"/>
    <w:rsid w:val="4AEE42E9"/>
    <w:rsid w:val="4AF84C20"/>
    <w:rsid w:val="4B490076"/>
    <w:rsid w:val="4C5440F5"/>
    <w:rsid w:val="4CB110DD"/>
    <w:rsid w:val="4CC504AA"/>
    <w:rsid w:val="4CC90623"/>
    <w:rsid w:val="4CF65E25"/>
    <w:rsid w:val="4D0C1182"/>
    <w:rsid w:val="4DB9129B"/>
    <w:rsid w:val="4E9D1D67"/>
    <w:rsid w:val="4F2757CC"/>
    <w:rsid w:val="4F4E3061"/>
    <w:rsid w:val="4F9E1ABB"/>
    <w:rsid w:val="4FAA2BC4"/>
    <w:rsid w:val="501871CB"/>
    <w:rsid w:val="509727E6"/>
    <w:rsid w:val="50D23C7B"/>
    <w:rsid w:val="50FF1B2E"/>
    <w:rsid w:val="51575861"/>
    <w:rsid w:val="51915487"/>
    <w:rsid w:val="51E3650C"/>
    <w:rsid w:val="51FA025B"/>
    <w:rsid w:val="52171E30"/>
    <w:rsid w:val="52863CC0"/>
    <w:rsid w:val="52EA30A1"/>
    <w:rsid w:val="53746E0E"/>
    <w:rsid w:val="538A24FF"/>
    <w:rsid w:val="5394125E"/>
    <w:rsid w:val="53DA4EC3"/>
    <w:rsid w:val="53EE6BC1"/>
    <w:rsid w:val="544E642D"/>
    <w:rsid w:val="546E385E"/>
    <w:rsid w:val="55A75279"/>
    <w:rsid w:val="5638399B"/>
    <w:rsid w:val="56452993"/>
    <w:rsid w:val="56B527FF"/>
    <w:rsid w:val="57572CCF"/>
    <w:rsid w:val="57686C8A"/>
    <w:rsid w:val="57812407"/>
    <w:rsid w:val="58B24FBD"/>
    <w:rsid w:val="59390936"/>
    <w:rsid w:val="59CC3500"/>
    <w:rsid w:val="59F65868"/>
    <w:rsid w:val="5A3D7F5A"/>
    <w:rsid w:val="5A9D6C4B"/>
    <w:rsid w:val="5AC266B1"/>
    <w:rsid w:val="5B4D0671"/>
    <w:rsid w:val="5BA808D3"/>
    <w:rsid w:val="5BB92F72"/>
    <w:rsid w:val="5BDB5C7C"/>
    <w:rsid w:val="5C0318CC"/>
    <w:rsid w:val="5C2C0415"/>
    <w:rsid w:val="5C4300EA"/>
    <w:rsid w:val="5CA859EE"/>
    <w:rsid w:val="5CD56B70"/>
    <w:rsid w:val="5CE46DB3"/>
    <w:rsid w:val="5D9562FF"/>
    <w:rsid w:val="5DF63241"/>
    <w:rsid w:val="5E602469"/>
    <w:rsid w:val="5ED73083"/>
    <w:rsid w:val="5F1D2524"/>
    <w:rsid w:val="608370FC"/>
    <w:rsid w:val="60CE7B5E"/>
    <w:rsid w:val="61B9080E"/>
    <w:rsid w:val="61C11838"/>
    <w:rsid w:val="624B3430"/>
    <w:rsid w:val="625B3673"/>
    <w:rsid w:val="6300421A"/>
    <w:rsid w:val="630E7BDF"/>
    <w:rsid w:val="633D0FCB"/>
    <w:rsid w:val="63471EB6"/>
    <w:rsid w:val="6363719B"/>
    <w:rsid w:val="642E1408"/>
    <w:rsid w:val="65046244"/>
    <w:rsid w:val="65363F24"/>
    <w:rsid w:val="6578453C"/>
    <w:rsid w:val="66123CDD"/>
    <w:rsid w:val="661B597D"/>
    <w:rsid w:val="66680A54"/>
    <w:rsid w:val="66927680"/>
    <w:rsid w:val="66D165FA"/>
    <w:rsid w:val="66E370C7"/>
    <w:rsid w:val="67242BCD"/>
    <w:rsid w:val="682844B8"/>
    <w:rsid w:val="685C76BD"/>
    <w:rsid w:val="68DA7E18"/>
    <w:rsid w:val="693966D8"/>
    <w:rsid w:val="69A973BA"/>
    <w:rsid w:val="6A7A6FA8"/>
    <w:rsid w:val="6AA13E28"/>
    <w:rsid w:val="6B250CC2"/>
    <w:rsid w:val="6B6A7815"/>
    <w:rsid w:val="6C474C68"/>
    <w:rsid w:val="6C6A4E50"/>
    <w:rsid w:val="6CBD4F2A"/>
    <w:rsid w:val="6D1E6CC7"/>
    <w:rsid w:val="6D3E42BD"/>
    <w:rsid w:val="6DE05374"/>
    <w:rsid w:val="6DEF7365"/>
    <w:rsid w:val="6DF77649"/>
    <w:rsid w:val="6E5673E4"/>
    <w:rsid w:val="6ECD631B"/>
    <w:rsid w:val="6F347726"/>
    <w:rsid w:val="6F7C731F"/>
    <w:rsid w:val="6F945BEF"/>
    <w:rsid w:val="702B68F1"/>
    <w:rsid w:val="70BD22BD"/>
    <w:rsid w:val="70F26838"/>
    <w:rsid w:val="71436346"/>
    <w:rsid w:val="717E737E"/>
    <w:rsid w:val="722C2936"/>
    <w:rsid w:val="728C5ACB"/>
    <w:rsid w:val="72E92A4A"/>
    <w:rsid w:val="72F83160"/>
    <w:rsid w:val="73190ACB"/>
    <w:rsid w:val="733028FA"/>
    <w:rsid w:val="736B2FE5"/>
    <w:rsid w:val="74147B26"/>
    <w:rsid w:val="7470715B"/>
    <w:rsid w:val="75FF9BB2"/>
    <w:rsid w:val="76261D92"/>
    <w:rsid w:val="762E3CA7"/>
    <w:rsid w:val="768818CD"/>
    <w:rsid w:val="76911902"/>
    <w:rsid w:val="772A66FE"/>
    <w:rsid w:val="778D20C9"/>
    <w:rsid w:val="782D0435"/>
    <w:rsid w:val="782F5058"/>
    <w:rsid w:val="78450BF6"/>
    <w:rsid w:val="785B248E"/>
    <w:rsid w:val="78F148D9"/>
    <w:rsid w:val="79E306C6"/>
    <w:rsid w:val="7A1C3CE6"/>
    <w:rsid w:val="7A6C06BC"/>
    <w:rsid w:val="7A796935"/>
    <w:rsid w:val="7A87483C"/>
    <w:rsid w:val="7AD43DD1"/>
    <w:rsid w:val="7ADC14EF"/>
    <w:rsid w:val="7B147BBC"/>
    <w:rsid w:val="7B172F3D"/>
    <w:rsid w:val="7B22448E"/>
    <w:rsid w:val="7B4B6542"/>
    <w:rsid w:val="7B5178B1"/>
    <w:rsid w:val="7B9C204A"/>
    <w:rsid w:val="7B9D6653"/>
    <w:rsid w:val="7BC168A4"/>
    <w:rsid w:val="7C451A98"/>
    <w:rsid w:val="7C7B7C8C"/>
    <w:rsid w:val="7D351BA5"/>
    <w:rsid w:val="7D782ED3"/>
    <w:rsid w:val="7EBDDD42"/>
    <w:rsid w:val="7FE24F7C"/>
    <w:rsid w:val="F7B412EC"/>
    <w:rsid w:val="FF6DFF69"/>
    <w:rsid w:val="FFEF15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00" w:firstLineChars="200"/>
      <w:jc w:val="both"/>
    </w:pPr>
    <w:rPr>
      <w:rFonts w:ascii="Times New Roman" w:hAnsi="Times New Roman" w:eastAsia="仿宋_GB2312" w:cstheme="minorBidi"/>
      <w:kern w:val="2"/>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w:basedOn w:val="1"/>
    <w:unhideWhenUsed/>
    <w:qFormat/>
    <w:uiPriority w:val="0"/>
    <w:rPr>
      <w:rFonts w:hint="eastAsia" w:ascii="华文新魏" w:eastAsia="华文新魏" w:cs="Times New Roman"/>
      <w:kern w:val="0"/>
      <w:sz w:val="36"/>
      <w:szCs w:val="24"/>
    </w:rPr>
  </w:style>
  <w:style w:type="paragraph" w:styleId="4">
    <w:name w:val="footer"/>
    <w:basedOn w:val="1"/>
    <w:link w:val="15"/>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14"/>
    <w:qFormat/>
    <w:uiPriority w:val="0"/>
    <w:pPr>
      <w:tabs>
        <w:tab w:val="center" w:pos="4153"/>
        <w:tab w:val="right" w:pos="8306"/>
      </w:tabs>
      <w:snapToGrid w:val="0"/>
      <w:spacing w:line="240" w:lineRule="atLeast"/>
      <w:jc w:val="center"/>
    </w:pPr>
    <w:rPr>
      <w:sz w:val="18"/>
      <w:szCs w:val="18"/>
    </w:rPr>
  </w:style>
  <w:style w:type="paragraph" w:styleId="6">
    <w:name w:val="toc 1"/>
    <w:basedOn w:val="1"/>
    <w:next w:val="1"/>
    <w:qFormat/>
    <w:uiPriority w:val="0"/>
  </w:style>
  <w:style w:type="paragraph" w:styleId="7">
    <w:name w:val="toc 2"/>
    <w:basedOn w:val="1"/>
    <w:next w:val="1"/>
    <w:qFormat/>
    <w:uiPriority w:val="39"/>
    <w:pPr>
      <w:ind w:left="420" w:leftChars="200"/>
    </w:p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2"/>
    <w:next w:val="2"/>
    <w:link w:val="18"/>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页眉 字符"/>
    <w:basedOn w:val="12"/>
    <w:link w:val="5"/>
    <w:qFormat/>
    <w:uiPriority w:val="0"/>
    <w:rPr>
      <w:rFonts w:eastAsia="仿宋_GB2312" w:cstheme="minorBidi"/>
      <w:kern w:val="2"/>
      <w:sz w:val="18"/>
      <w:szCs w:val="18"/>
    </w:rPr>
  </w:style>
  <w:style w:type="character" w:customStyle="1" w:styleId="15">
    <w:name w:val="页脚 字符"/>
    <w:basedOn w:val="12"/>
    <w:link w:val="4"/>
    <w:qFormat/>
    <w:uiPriority w:val="0"/>
    <w:rPr>
      <w:rFonts w:eastAsia="仿宋_GB2312" w:cstheme="minorBidi"/>
      <w:kern w:val="2"/>
      <w:sz w:val="18"/>
      <w:szCs w:val="18"/>
    </w:rPr>
  </w:style>
  <w:style w:type="paragraph" w:customStyle="1" w:styleId="16">
    <w:name w:val="修订1"/>
    <w:hidden/>
    <w:unhideWhenUsed/>
    <w:qFormat/>
    <w:uiPriority w:val="99"/>
    <w:rPr>
      <w:rFonts w:ascii="Times New Roman" w:hAnsi="Times New Roman" w:eastAsia="仿宋_GB2312" w:cstheme="minorBidi"/>
      <w:kern w:val="2"/>
      <w:sz w:val="32"/>
      <w:szCs w:val="32"/>
      <w:lang w:val="en-US" w:eastAsia="zh-CN" w:bidi="ar-SA"/>
    </w:rPr>
  </w:style>
  <w:style w:type="character" w:customStyle="1" w:styleId="17">
    <w:name w:val="批注文字 字符"/>
    <w:basedOn w:val="12"/>
    <w:link w:val="2"/>
    <w:qFormat/>
    <w:uiPriority w:val="0"/>
    <w:rPr>
      <w:rFonts w:eastAsia="仿宋_GB2312" w:cstheme="minorBidi"/>
      <w:kern w:val="2"/>
      <w:sz w:val="32"/>
      <w:szCs w:val="32"/>
    </w:rPr>
  </w:style>
  <w:style w:type="character" w:customStyle="1" w:styleId="18">
    <w:name w:val="批注主题 字符"/>
    <w:basedOn w:val="17"/>
    <w:link w:val="9"/>
    <w:qFormat/>
    <w:uiPriority w:val="0"/>
    <w:rPr>
      <w:rFonts w:eastAsia="仿宋_GB2312" w:cstheme="minorBidi"/>
      <w:b/>
      <w:bCs/>
      <w:kern w:val="2"/>
      <w:sz w:val="32"/>
      <w:szCs w:val="32"/>
    </w:rPr>
  </w:style>
  <w:style w:type="paragraph" w:customStyle="1" w:styleId="19">
    <w:name w:val="修订2"/>
    <w:hidden/>
    <w:unhideWhenUsed/>
    <w:qFormat/>
    <w:uiPriority w:val="99"/>
    <w:rPr>
      <w:rFonts w:ascii="Times New Roman" w:hAnsi="Times New Roman" w:eastAsia="仿宋_GB2312" w:cstheme="minorBidi"/>
      <w:kern w:val="2"/>
      <w:sz w:val="32"/>
      <w:szCs w:val="32"/>
      <w:lang w:val="en-US" w:eastAsia="zh-CN" w:bidi="ar-SA"/>
    </w:rPr>
  </w:style>
  <w:style w:type="paragraph" w:customStyle="1" w:styleId="20">
    <w:name w:val="修订3"/>
    <w:hidden/>
    <w:unhideWhenUsed/>
    <w:qFormat/>
    <w:uiPriority w:val="99"/>
    <w:rPr>
      <w:rFonts w:ascii="Times New Roman" w:hAnsi="Times New Roman" w:eastAsia="仿宋_GB2312" w:cstheme="minorBidi"/>
      <w:kern w:val="2"/>
      <w:sz w:val="32"/>
      <w:szCs w:val="32"/>
      <w:lang w:val="en-US" w:eastAsia="zh-CN" w:bidi="ar-SA"/>
    </w:rPr>
  </w:style>
  <w:style w:type="paragraph" w:customStyle="1" w:styleId="21">
    <w:name w:val="修订4"/>
    <w:hidden/>
    <w:unhideWhenUsed/>
    <w:qFormat/>
    <w:uiPriority w:val="99"/>
    <w:rPr>
      <w:rFonts w:ascii="Times New Roman" w:hAnsi="Times New Roman" w:eastAsia="仿宋_GB2312" w:cstheme="minorBidi"/>
      <w:kern w:val="2"/>
      <w:sz w:val="32"/>
      <w:szCs w:val="32"/>
      <w:lang w:val="en-US" w:eastAsia="zh-CN" w:bidi="ar-SA"/>
    </w:rPr>
  </w:style>
  <w:style w:type="paragraph" w:customStyle="1" w:styleId="22">
    <w:name w:val="Revision"/>
    <w:hidden/>
    <w:unhideWhenUsed/>
    <w:qFormat/>
    <w:uiPriority w:val="99"/>
    <w:rPr>
      <w:rFonts w:ascii="Times New Roman" w:hAnsi="Times New Roman" w:eastAsia="仿宋_GB2312"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D0701B-8C42-4A76-9395-67DFFC1B3E7B}">
  <ds:schemaRefs/>
</ds:datastoreItem>
</file>

<file path=docProps/app.xml><?xml version="1.0" encoding="utf-8"?>
<Properties xmlns="http://schemas.openxmlformats.org/officeDocument/2006/extended-properties" xmlns:vt="http://schemas.openxmlformats.org/officeDocument/2006/docPropsVTypes">
  <Template>Normal</Template>
  <Pages>4</Pages>
  <Words>1594</Words>
  <Characters>1763</Characters>
  <Lines>12</Lines>
  <Paragraphs>3</Paragraphs>
  <TotalTime>0</TotalTime>
  <ScaleCrop>false</ScaleCrop>
  <LinksUpToDate>false</LinksUpToDate>
  <CharactersWithSpaces>1763</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2024-11-20T06:26:00Z</dcterms:created>
  <dc:creator>Ray</dc:creator>
  <cp:lastModifiedBy>ll</cp:lastModifiedBy>
  <dcterms:modified xsi:type="dcterms:W3CDTF">2025-09-18T01:43:54Z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88B9F03FD00F43619B60B1F5DBBD738E_13</vt:lpwstr>
  </property>
  <property fmtid="{D5CDD505-2E9C-101B-9397-08002B2CF9AE}" pid="4" name="KSOTemplateDocerSaveRecord">
    <vt:lpwstr>eyJoZGlkIjoiYzI5ODU4YjQ3MGY2Y2I0MDEzM2YxOWYyZDZiMDg3NWIiLCJ1c2VySWQiOiI0MTAxMDgyMjMifQ==</vt:lpwstr>
  </property>
</Properties>
</file>