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after="0" w:line="560" w:lineRule="exact"/>
        <w:ind w:right="0" w:rightChars="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关于开展支持场景示范应用项目征集的</w:t>
      </w:r>
    </w:p>
    <w:p>
      <w:pPr>
        <w:keepNext w:val="0"/>
        <w:keepLines w:val="0"/>
        <w:pageBreakBefore w:val="0"/>
        <w:kinsoku/>
        <w:wordWrap/>
        <w:overflowPunct/>
        <w:topLinePunct w:val="0"/>
        <w:autoSpaceDE/>
        <w:autoSpaceDN/>
        <w:bidi w:val="0"/>
        <w:adjustRightInd/>
        <w:spacing w:after="0" w:line="560" w:lineRule="exact"/>
        <w:ind w:right="0" w:rightChars="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通知</w:t>
      </w:r>
    </w:p>
    <w:p>
      <w:pPr>
        <w:keepNext w:val="0"/>
        <w:keepLines w:val="0"/>
        <w:pageBreakBefore w:val="0"/>
        <w:kinsoku/>
        <w:wordWrap/>
        <w:overflowPunct/>
        <w:topLinePunct w:val="0"/>
        <w:autoSpaceDE/>
        <w:autoSpaceDN/>
        <w:bidi w:val="0"/>
        <w:adjustRightInd/>
        <w:spacing w:after="0" w:line="560" w:lineRule="exact"/>
        <w:ind w:right="0" w:rightChars="0"/>
        <w:jc w:val="left"/>
        <w:textAlignment w:val="auto"/>
        <w:rPr>
          <w:rFonts w:ascii="Times New Roman" w:hAnsi="Times New Roman" w:eastAsia="仿宋_GB2312"/>
          <w:bCs/>
          <w:sz w:val="32"/>
          <w:szCs w:val="32"/>
        </w:rPr>
      </w:pPr>
    </w:p>
    <w:p>
      <w:pPr>
        <w:keepNext w:val="0"/>
        <w:keepLines w:val="0"/>
        <w:pageBreakBefore w:val="0"/>
        <w:kinsoku/>
        <w:wordWrap/>
        <w:overflowPunct/>
        <w:topLinePunct w:val="0"/>
        <w:autoSpaceDE/>
        <w:autoSpaceDN/>
        <w:bidi w:val="0"/>
        <w:adjustRightInd/>
        <w:spacing w:after="0" w:line="560" w:lineRule="exact"/>
        <w:ind w:right="0" w:rightChars="0"/>
        <w:jc w:val="left"/>
        <w:textAlignment w:val="auto"/>
        <w:rPr>
          <w:rFonts w:ascii="Times New Roman" w:hAnsi="Times New Roman" w:eastAsia="仿宋_GB2312"/>
          <w:bCs/>
          <w:sz w:val="32"/>
          <w:szCs w:val="32"/>
        </w:rPr>
      </w:pPr>
      <w:r>
        <w:rPr>
          <w:rFonts w:ascii="Times New Roman" w:hAnsi="Times New Roman" w:eastAsia="仿宋_GB2312"/>
          <w:bCs/>
          <w:sz w:val="32"/>
          <w:szCs w:val="32"/>
        </w:rPr>
        <w:t>各</w:t>
      </w:r>
      <w:r>
        <w:rPr>
          <w:rFonts w:hint="eastAsia" w:ascii="Times New Roman" w:hAnsi="Times New Roman" w:eastAsia="仿宋_GB2312"/>
          <w:bCs/>
          <w:sz w:val="32"/>
          <w:szCs w:val="32"/>
        </w:rPr>
        <w:t>相关</w:t>
      </w:r>
      <w:r>
        <w:rPr>
          <w:rFonts w:ascii="Times New Roman" w:hAnsi="Times New Roman" w:eastAsia="仿宋_GB2312"/>
          <w:bCs/>
          <w:sz w:val="32"/>
          <w:szCs w:val="32"/>
        </w:rPr>
        <w:t>单位：</w:t>
      </w:r>
    </w:p>
    <w:p>
      <w:pPr>
        <w:keepNext w:val="0"/>
        <w:keepLines w:val="0"/>
        <w:pageBreakBefore w:val="0"/>
        <w:widowControl/>
        <w:kinsoku/>
        <w:wordWrap/>
        <w:overflowPunct/>
        <w:topLinePunct w:val="0"/>
        <w:autoSpaceDE/>
        <w:autoSpaceDN/>
        <w:bidi w:val="0"/>
        <w:adjustRightInd/>
        <w:spacing w:after="0" w:line="560" w:lineRule="exact"/>
        <w:ind w:right="0" w:rightChars="0" w:firstLine="620" w:firstLineChars="200"/>
        <w:textAlignment w:val="auto"/>
        <w:rPr>
          <w:rFonts w:hint="eastAsia" w:ascii="仿宋_GB2312" w:hAnsi="仿宋_GB2312" w:eastAsia="仿宋_GB2312" w:cs="仿宋_GB2312"/>
          <w:color w:val="000000"/>
          <w:kern w:val="0"/>
          <w:sz w:val="31"/>
          <w:szCs w:val="31"/>
          <w:lang w:bidi="ar"/>
        </w:rPr>
      </w:pPr>
      <w:r>
        <w:rPr>
          <w:rFonts w:ascii="仿宋_GB2312" w:hAnsi="仿宋_GB2312" w:eastAsia="仿宋_GB2312" w:cs="仿宋_GB2312"/>
          <w:color w:val="000000"/>
          <w:kern w:val="0"/>
          <w:sz w:val="31"/>
          <w:szCs w:val="31"/>
          <w:lang w:bidi="ar"/>
        </w:rPr>
        <w:t>根据《石景山区促进虚拟现实产业创新发展</w:t>
      </w:r>
      <w:r>
        <w:rPr>
          <w:rFonts w:hint="eastAsia" w:ascii="仿宋_GB2312" w:hAnsi="仿宋_GB2312" w:eastAsia="仿宋_GB2312" w:cs="仿宋_GB2312"/>
          <w:color w:val="000000"/>
          <w:kern w:val="0"/>
          <w:sz w:val="31"/>
          <w:szCs w:val="31"/>
          <w:lang w:bidi="ar"/>
        </w:rPr>
        <w:t>支持办法（试行）》</w:t>
      </w:r>
      <w:r>
        <w:rPr>
          <w:rFonts w:ascii="仿宋_GB2312" w:hAnsi="仿宋_GB2312" w:eastAsia="仿宋_GB2312" w:cs="仿宋_GB2312"/>
          <w:color w:val="000000"/>
          <w:kern w:val="0"/>
          <w:sz w:val="31"/>
          <w:szCs w:val="31"/>
          <w:lang w:bidi="ar"/>
        </w:rPr>
        <w:t>（石园科发〔2024〕12号），现公开征集</w:t>
      </w:r>
      <w:r>
        <w:rPr>
          <w:rFonts w:hint="eastAsia" w:ascii="仿宋_GB2312" w:hAnsi="仿宋_GB2312" w:eastAsia="仿宋_GB2312" w:cs="仿宋_GB2312"/>
          <w:color w:val="000000"/>
          <w:kern w:val="0"/>
          <w:sz w:val="31"/>
          <w:szCs w:val="31"/>
          <w:lang w:bidi="ar"/>
        </w:rPr>
        <w:t>202</w:t>
      </w:r>
      <w:r>
        <w:rPr>
          <w:rFonts w:hint="eastAsia" w:ascii="仿宋_GB2312" w:hAnsi="仿宋_GB2312" w:eastAsia="仿宋_GB2312" w:cs="仿宋_GB2312"/>
          <w:color w:val="000000"/>
          <w:kern w:val="0"/>
          <w:sz w:val="31"/>
          <w:szCs w:val="31"/>
          <w:lang w:val="en-US" w:eastAsia="zh-CN" w:bidi="ar"/>
        </w:rPr>
        <w:t>5</w:t>
      </w:r>
      <w:r>
        <w:rPr>
          <w:rFonts w:hint="eastAsia" w:ascii="仿宋_GB2312" w:hAnsi="仿宋_GB2312" w:eastAsia="仿宋_GB2312" w:cs="仿宋_GB2312"/>
          <w:color w:val="000000"/>
          <w:kern w:val="0"/>
          <w:sz w:val="31"/>
          <w:szCs w:val="31"/>
          <w:lang w:bidi="ar"/>
        </w:rPr>
        <w:t>年场景示范应用项目</w:t>
      </w:r>
      <w:r>
        <w:rPr>
          <w:rFonts w:ascii="仿宋_GB2312" w:hAnsi="仿宋_GB2312" w:eastAsia="仿宋_GB2312" w:cs="仿宋_GB2312"/>
          <w:color w:val="000000"/>
          <w:kern w:val="0"/>
          <w:sz w:val="31"/>
          <w:szCs w:val="31"/>
          <w:lang w:bidi="ar"/>
        </w:rPr>
        <w:t>，有关事项通知如下：</w:t>
      </w:r>
    </w:p>
    <w:p>
      <w:pPr>
        <w:keepNext w:val="0"/>
        <w:keepLines w:val="0"/>
        <w:pageBreakBefore w:val="0"/>
        <w:kinsoku/>
        <w:wordWrap/>
        <w:overflowPunct/>
        <w:topLinePunct w:val="0"/>
        <w:autoSpaceDE/>
        <w:autoSpaceDN/>
        <w:bidi w:val="0"/>
        <w:adjustRightInd/>
        <w:spacing w:after="0" w:line="560" w:lineRule="exact"/>
        <w:ind w:right="0" w:rightChars="0" w:firstLine="640" w:firstLineChars="200"/>
        <w:textAlignment w:val="auto"/>
        <w:rPr>
          <w:rFonts w:ascii="Times New Roman" w:hAnsi="Times New Roman" w:eastAsia="黑体"/>
          <w:sz w:val="32"/>
          <w:szCs w:val="32"/>
        </w:rPr>
      </w:pPr>
      <w:r>
        <w:rPr>
          <w:rFonts w:hint="eastAsia" w:ascii="Times New Roman" w:hAnsi="Times New Roman" w:eastAsia="黑体"/>
          <w:sz w:val="32"/>
          <w:szCs w:val="32"/>
          <w:lang w:eastAsia="zh-Hans"/>
        </w:rPr>
        <w:t>一</w:t>
      </w:r>
      <w:r>
        <w:rPr>
          <w:rFonts w:hint="eastAsia" w:ascii="Times New Roman" w:hAnsi="Times New Roman" w:eastAsia="黑体"/>
          <w:sz w:val="32"/>
          <w:szCs w:val="32"/>
        </w:rPr>
        <w:t>、</w:t>
      </w:r>
      <w:r>
        <w:rPr>
          <w:rFonts w:ascii="Times New Roman" w:hAnsi="Times New Roman" w:eastAsia="黑体"/>
          <w:sz w:val="32"/>
          <w:szCs w:val="32"/>
        </w:rPr>
        <w:t>支持标准</w:t>
      </w:r>
    </w:p>
    <w:p>
      <w:pPr>
        <w:keepNext w:val="0"/>
        <w:keepLines w:val="0"/>
        <w:pageBreakBefore w:val="0"/>
        <w:kinsoku/>
        <w:wordWrap/>
        <w:overflowPunct/>
        <w:topLinePunct w:val="0"/>
        <w:autoSpaceDE/>
        <w:autoSpaceDN/>
        <w:bidi w:val="0"/>
        <w:adjustRightInd/>
        <w:spacing w:after="0" w:line="560" w:lineRule="exact"/>
        <w:ind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1.支持有利于虚拟现实领域技术应用示范和验证迭代的重点应用场景项目建设。对区级应用场景项目，经评审，按照项目投资30%予以补助，最高200万元。</w:t>
      </w:r>
    </w:p>
    <w:p>
      <w:pPr>
        <w:keepNext w:val="0"/>
        <w:keepLines w:val="0"/>
        <w:pageBreakBefore w:val="0"/>
        <w:kinsoku/>
        <w:wordWrap/>
        <w:overflowPunct/>
        <w:topLinePunct w:val="0"/>
        <w:autoSpaceDE/>
        <w:autoSpaceDN/>
        <w:bidi w:val="0"/>
        <w:adjustRightInd/>
        <w:spacing w:after="0" w:line="560" w:lineRule="exact"/>
        <w:ind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2.对获得市级应用场景支持的应用示范项目，按照市级支持资金30%予以补助，最高500万元。</w:t>
      </w:r>
    </w:p>
    <w:p>
      <w:pPr>
        <w:keepNext w:val="0"/>
        <w:keepLines w:val="0"/>
        <w:pageBreakBefore w:val="0"/>
        <w:kinsoku/>
        <w:wordWrap/>
        <w:overflowPunct/>
        <w:topLinePunct w:val="0"/>
        <w:autoSpaceDE/>
        <w:autoSpaceDN/>
        <w:bidi w:val="0"/>
        <w:adjustRightInd/>
        <w:spacing w:after="0" w:line="560" w:lineRule="exact"/>
        <w:ind w:right="0" w:rightChars="0" w:firstLine="640" w:firstLineChars="200"/>
        <w:textAlignment w:val="auto"/>
        <w:rPr>
          <w:rFonts w:hint="eastAsia" w:ascii="仿宋_GB2312" w:hAnsi="仿宋_GB2312" w:eastAsia="仿宋_GB2312" w:cs="仿宋_GB2312"/>
          <w:color w:val="000000"/>
          <w:kern w:val="0"/>
          <w:sz w:val="31"/>
          <w:szCs w:val="31"/>
          <w:lang w:bidi="ar"/>
        </w:rPr>
      </w:pPr>
      <w:r>
        <w:rPr>
          <w:rFonts w:ascii="Times New Roman" w:hAnsi="Times New Roman" w:eastAsia="黑体"/>
          <w:sz w:val="32"/>
          <w:szCs w:val="32"/>
        </w:rPr>
        <w:t>二、申报条件</w:t>
      </w:r>
    </w:p>
    <w:p>
      <w:pPr>
        <w:keepNext w:val="0"/>
        <w:keepLines w:val="0"/>
        <w:pageBreakBefore w:val="0"/>
        <w:kinsoku/>
        <w:wordWrap/>
        <w:overflowPunct/>
        <w:topLinePunct w:val="0"/>
        <w:autoSpaceDE/>
        <w:autoSpaceDN/>
        <w:bidi w:val="0"/>
        <w:adjustRightInd/>
        <w:snapToGrid w:val="0"/>
        <w:spacing w:after="0" w:line="560" w:lineRule="exact"/>
        <w:ind w:right="0" w:rightChars="0" w:firstLine="640" w:firstLineChars="200"/>
        <w:textAlignment w:val="auto"/>
        <w:rPr>
          <w:rFonts w:hint="eastAsia" w:ascii="楷体" w:hAnsi="楷体" w:eastAsia="楷体" w:cs="楷体_GB2312"/>
          <w:sz w:val="32"/>
          <w:szCs w:val="32"/>
        </w:rPr>
      </w:pPr>
      <w:r>
        <w:rPr>
          <w:rFonts w:hint="eastAsia" w:ascii="楷体" w:hAnsi="楷体" w:eastAsia="楷体" w:cs="楷体_GB2312"/>
          <w:sz w:val="32"/>
          <w:szCs w:val="32"/>
        </w:rPr>
        <w:t>（一）申报单位要求</w:t>
      </w:r>
    </w:p>
    <w:p>
      <w:pPr>
        <w:pStyle w:val="2"/>
        <w:keepNext w:val="0"/>
        <w:keepLines w:val="0"/>
        <w:pageBreakBefore w:val="0"/>
        <w:kinsoku/>
        <w:wordWrap/>
        <w:overflowPunct/>
        <w:topLinePunct w:val="0"/>
        <w:autoSpaceDE/>
        <w:autoSpaceDN/>
        <w:bidi w:val="0"/>
        <w:adjustRightInd/>
        <w:spacing w:after="0"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1.符合国家、北京市、石景山区产业发展方向的，在石景山区依法合规开展经营活动的企事业单位、社会组织、高等学校、科研院所以及创业服务机构等各类法人机构。</w:t>
      </w:r>
    </w:p>
    <w:p>
      <w:pPr>
        <w:keepNext w:val="0"/>
        <w:keepLines w:val="0"/>
        <w:pageBreakBefore w:val="0"/>
        <w:kinsoku/>
        <w:wordWrap/>
        <w:overflowPunct/>
        <w:topLinePunct w:val="0"/>
        <w:autoSpaceDE/>
        <w:autoSpaceDN/>
        <w:bidi w:val="0"/>
        <w:adjustRightInd/>
        <w:snapToGrid w:val="0"/>
        <w:spacing w:after="0" w:line="56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2.近三年内没有重大违法违规行为记录，未被列入失信被执行人、重大税收违法案件当事人名单、政府采购严重违法失信行为记录名单、联合惩戒“黑名单”。</w:t>
      </w:r>
    </w:p>
    <w:p>
      <w:pPr>
        <w:keepNext w:val="0"/>
        <w:keepLines w:val="0"/>
        <w:pageBreakBefore w:val="0"/>
        <w:kinsoku/>
        <w:wordWrap/>
        <w:overflowPunct/>
        <w:topLinePunct w:val="0"/>
        <w:autoSpaceDE/>
        <w:autoSpaceDN/>
        <w:bidi w:val="0"/>
        <w:adjustRightInd/>
        <w:snapToGrid w:val="0"/>
        <w:spacing w:after="0" w:line="560" w:lineRule="exact"/>
        <w:ind w:right="0" w:rightChars="0" w:firstLine="640" w:firstLineChars="200"/>
        <w:textAlignment w:val="auto"/>
        <w:rPr>
          <w:rFonts w:hint="eastAsia" w:ascii="楷体" w:hAnsi="楷体" w:eastAsia="楷体" w:cs="楷体_GB2312"/>
          <w:sz w:val="32"/>
          <w:szCs w:val="32"/>
        </w:rPr>
      </w:pPr>
      <w:r>
        <w:rPr>
          <w:rFonts w:ascii="楷体" w:hAnsi="楷体" w:eastAsia="楷体" w:cs="楷体_GB2312"/>
          <w:sz w:val="32"/>
          <w:szCs w:val="32"/>
        </w:rPr>
        <w:t>（二）申报项目要求</w:t>
      </w:r>
    </w:p>
    <w:p>
      <w:pPr>
        <w:keepNext w:val="0"/>
        <w:keepLines w:val="0"/>
        <w:pageBreakBefore w:val="0"/>
        <w:kinsoku/>
        <w:wordWrap/>
        <w:overflowPunct/>
        <w:topLinePunct w:val="0"/>
        <w:autoSpaceDE/>
        <w:autoSpaceDN/>
        <w:bidi w:val="0"/>
        <w:adjustRightInd/>
        <w:snapToGrid w:val="0"/>
        <w:spacing w:after="0" w:line="56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1.项目在虚拟现实相关领域具有一定技术优势，对带动产业发展和行业应用等方面具有推动作用。</w:t>
      </w:r>
    </w:p>
    <w:p>
      <w:pPr>
        <w:keepNext w:val="0"/>
        <w:keepLines w:val="0"/>
        <w:pageBreakBefore w:val="0"/>
        <w:kinsoku/>
        <w:wordWrap/>
        <w:overflowPunct/>
        <w:topLinePunct w:val="0"/>
        <w:autoSpaceDE/>
        <w:autoSpaceDN/>
        <w:bidi w:val="0"/>
        <w:adjustRightInd/>
        <w:snapToGrid w:val="0"/>
        <w:spacing w:after="0" w:line="56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2.项目申报单位具有完成项目所需的自筹资金、人才条件、技术装备以及完成项目所需的组织管理和协调能力。</w:t>
      </w:r>
    </w:p>
    <w:p>
      <w:pPr>
        <w:keepNext w:val="0"/>
        <w:keepLines w:val="0"/>
        <w:pageBreakBefore w:val="0"/>
        <w:kinsoku/>
        <w:wordWrap/>
        <w:overflowPunct/>
        <w:topLinePunct w:val="0"/>
        <w:autoSpaceDE/>
        <w:autoSpaceDN/>
        <w:bidi w:val="0"/>
        <w:adjustRightInd/>
        <w:snapToGrid w:val="0"/>
        <w:spacing w:after="0" w:line="56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3.项目申报单位具有健全完善的项目管理和财务管理制度，切实履行在项目申请、组织实施、验收和经费使用等方面的管理职责，具有健全的财务管理机构，不得编报虚假预算、套取财政资金。</w:t>
      </w:r>
    </w:p>
    <w:p>
      <w:pPr>
        <w:keepNext w:val="0"/>
        <w:keepLines w:val="0"/>
        <w:pageBreakBefore w:val="0"/>
        <w:kinsoku/>
        <w:wordWrap/>
        <w:overflowPunct/>
        <w:topLinePunct w:val="0"/>
        <w:autoSpaceDE/>
        <w:autoSpaceDN/>
        <w:bidi w:val="0"/>
        <w:adjustRightInd/>
        <w:snapToGrid w:val="0"/>
        <w:spacing w:after="0" w:line="56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 对获得国家级、市级支持的重点项目，申报单位已获得国家、北京市级相关专项支持的项目批复文件，以及该项目对应的相关结题材料（如结题报告、验收意见等），确保材料与申报项目直接关联且完整有效。</w:t>
      </w:r>
    </w:p>
    <w:p>
      <w:pPr>
        <w:keepNext w:val="0"/>
        <w:keepLines w:val="0"/>
        <w:pageBreakBefore w:val="0"/>
        <w:kinsoku/>
        <w:wordWrap/>
        <w:overflowPunct/>
        <w:topLinePunct w:val="0"/>
        <w:autoSpaceDE/>
        <w:autoSpaceDN/>
        <w:bidi w:val="0"/>
        <w:adjustRightInd/>
        <w:snapToGrid w:val="0"/>
        <w:spacing w:after="0" w:line="56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5.项目经费实行单独核算，确保专款专用，不得截留、挤占和挪用。</w:t>
      </w:r>
    </w:p>
    <w:p>
      <w:pPr>
        <w:keepNext w:val="0"/>
        <w:keepLines w:val="0"/>
        <w:pageBreakBefore w:val="0"/>
        <w:kinsoku/>
        <w:wordWrap/>
        <w:overflowPunct/>
        <w:topLinePunct w:val="0"/>
        <w:autoSpaceDE/>
        <w:autoSpaceDN/>
        <w:bidi w:val="0"/>
        <w:adjustRightInd/>
        <w:spacing w:after="0" w:line="560" w:lineRule="exact"/>
        <w:ind w:right="0" w:rightChars="0" w:firstLine="627" w:firstLineChars="196"/>
        <w:textAlignment w:val="auto"/>
        <w:outlineLvl w:val="2"/>
        <w:rPr>
          <w:rFonts w:ascii="Times New Roman" w:hAnsi="Times New Roman" w:eastAsia="黑体"/>
          <w:sz w:val="32"/>
          <w:szCs w:val="32"/>
        </w:rPr>
      </w:pPr>
      <w:r>
        <w:rPr>
          <w:rFonts w:hint="eastAsia" w:ascii="Times New Roman" w:hAnsi="Times New Roman" w:eastAsia="黑体"/>
          <w:sz w:val="32"/>
          <w:szCs w:val="32"/>
          <w:lang w:eastAsia="zh-Hans"/>
        </w:rPr>
        <w:t>三</w:t>
      </w:r>
      <w:r>
        <w:rPr>
          <w:rFonts w:ascii="Times New Roman" w:hAnsi="Times New Roman" w:eastAsia="黑体"/>
          <w:sz w:val="32"/>
          <w:szCs w:val="32"/>
        </w:rPr>
        <w:t>、申报材料</w:t>
      </w:r>
    </w:p>
    <w:p>
      <w:pPr>
        <w:keepNext w:val="0"/>
        <w:keepLines w:val="0"/>
        <w:pageBreakBefore w:val="0"/>
        <w:widowControl/>
        <w:shd w:val="clear" w:color="auto" w:fill="FFFFFF"/>
        <w:kinsoku/>
        <w:wordWrap/>
        <w:overflowPunct/>
        <w:topLinePunct w:val="0"/>
        <w:autoSpaceDE/>
        <w:autoSpaceDN/>
        <w:bidi w:val="0"/>
        <w:adjustRightInd/>
        <w:spacing w:after="0" w:line="560" w:lineRule="exact"/>
        <w:ind w:right="0" w:rightChars="0" w:firstLine="640"/>
        <w:textAlignment w:val="auto"/>
        <w:rPr>
          <w:rFonts w:ascii="Times New Roman" w:hAnsi="Times New Roman" w:eastAsia="仿宋_GB2312"/>
          <w:kern w:val="0"/>
          <w:sz w:val="32"/>
          <w:szCs w:val="32"/>
        </w:rPr>
      </w:pPr>
      <w:r>
        <w:rPr>
          <w:rFonts w:ascii="Times New Roman" w:hAnsi="Times New Roman" w:eastAsia="仿宋_GB2312"/>
          <w:kern w:val="0"/>
          <w:sz w:val="32"/>
          <w:szCs w:val="32"/>
        </w:rPr>
        <w:t>申报材料采取在线申报方式，经审核通过后提交书面材料。</w:t>
      </w:r>
    </w:p>
    <w:p>
      <w:pPr>
        <w:keepNext w:val="0"/>
        <w:keepLines w:val="0"/>
        <w:pageBreakBefore w:val="0"/>
        <w:widowControl/>
        <w:shd w:val="clear" w:color="auto" w:fill="FFFFFF"/>
        <w:kinsoku/>
        <w:wordWrap/>
        <w:overflowPunct/>
        <w:topLinePunct w:val="0"/>
        <w:autoSpaceDE/>
        <w:autoSpaceDN/>
        <w:bidi w:val="0"/>
        <w:adjustRightInd/>
        <w:spacing w:after="0" w:line="560" w:lineRule="exact"/>
        <w:ind w:right="0" w:rightChars="0" w:firstLine="640"/>
        <w:textAlignment w:val="auto"/>
        <w:rPr>
          <w:rFonts w:hint="eastAsia" w:ascii="楷体" w:hAnsi="楷体" w:eastAsia="楷体"/>
          <w:kern w:val="0"/>
          <w:sz w:val="32"/>
          <w:szCs w:val="32"/>
          <w:lang w:val="en"/>
        </w:rPr>
      </w:pPr>
      <w:r>
        <w:rPr>
          <w:rFonts w:ascii="楷体" w:hAnsi="楷体" w:eastAsia="楷体"/>
          <w:kern w:val="0"/>
          <w:sz w:val="32"/>
          <w:szCs w:val="32"/>
        </w:rPr>
        <w:t>（一）在线申报</w:t>
      </w:r>
    </w:p>
    <w:p>
      <w:pPr>
        <w:keepNext w:val="0"/>
        <w:keepLines w:val="0"/>
        <w:pageBreakBefore w:val="0"/>
        <w:widowControl/>
        <w:shd w:val="clear" w:color="auto" w:fill="FFFFFF"/>
        <w:kinsoku/>
        <w:wordWrap/>
        <w:overflowPunct/>
        <w:topLinePunct w:val="0"/>
        <w:autoSpaceDE/>
        <w:autoSpaceDN/>
        <w:bidi w:val="0"/>
        <w:adjustRightInd/>
        <w:spacing w:after="0" w:line="560" w:lineRule="exact"/>
        <w:ind w:right="0" w:rightChars="0" w:firstLine="64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lang w:val="zh-TW" w:eastAsia="zh-Hans"/>
        </w:rPr>
        <w:t>申报单位统一登录北京市人民政府门户网站“政策兑现”专区栏目（https://zhengce.beijing.gov.cn）选择相对应的项目进行申报或石景山区企业综合服务平台网站（网址：https://qyfw.bjsjs.gov.cn/#/login）进行注册认证</w:t>
      </w:r>
      <w:bookmarkStart w:id="0" w:name="_GoBack"/>
      <w:bookmarkEnd w:id="0"/>
      <w:r>
        <w:rPr>
          <w:rFonts w:hint="eastAsia" w:ascii="仿宋_GB2312" w:hAnsi="仿宋_GB2312" w:eastAsia="仿宋_GB2312" w:cs="仿宋_GB2312"/>
          <w:kern w:val="0"/>
          <w:sz w:val="32"/>
          <w:szCs w:val="32"/>
        </w:rPr>
        <w:t>，在线填写申报信息</w:t>
      </w:r>
      <w:r>
        <w:rPr>
          <w:rFonts w:hint="eastAsia" w:ascii="仿宋_GB2312" w:hAnsi="仿宋_GB2312" w:eastAsia="仿宋_GB2312" w:cs="仿宋_GB2312"/>
          <w:b/>
          <w:bCs/>
          <w:kern w:val="0"/>
          <w:sz w:val="32"/>
          <w:szCs w:val="32"/>
        </w:rPr>
        <w:t>并打包上传申报材料</w:t>
      </w:r>
      <w:r>
        <w:rPr>
          <w:rFonts w:hint="eastAsia" w:ascii="仿宋_GB2312" w:hAnsi="仿宋_GB2312" w:eastAsia="仿宋_GB2312" w:cs="仿宋_GB2312"/>
          <w:kern w:val="0"/>
          <w:sz w:val="32"/>
          <w:szCs w:val="32"/>
        </w:rPr>
        <w:t>，具体操作详见</w:t>
      </w:r>
      <w:r>
        <w:rPr>
          <w:rFonts w:hint="eastAsia" w:ascii="仿宋_GB2312" w:hAnsi="仿宋_GB2312" w:eastAsia="仿宋_GB2312" w:cs="仿宋_GB2312"/>
          <w:kern w:val="0"/>
          <w:sz w:val="32"/>
          <w:szCs w:val="32"/>
          <w:lang w:eastAsia="zh-Hans"/>
        </w:rPr>
        <w:t>《石景山区企业综合服务平台政策</w:t>
      </w:r>
      <w:r>
        <w:rPr>
          <w:rFonts w:hint="eastAsia" w:ascii="仿宋_GB2312" w:hAnsi="仿宋_GB2312" w:eastAsia="仿宋_GB2312" w:cs="仿宋_GB2312"/>
          <w:kern w:val="0"/>
          <w:sz w:val="32"/>
          <w:szCs w:val="32"/>
        </w:rPr>
        <w:t>兑现</w:t>
      </w:r>
      <w:r>
        <w:rPr>
          <w:rFonts w:hint="eastAsia" w:ascii="仿宋_GB2312" w:hAnsi="仿宋_GB2312" w:eastAsia="仿宋_GB2312" w:cs="仿宋_GB2312"/>
          <w:kern w:val="0"/>
          <w:sz w:val="32"/>
          <w:szCs w:val="32"/>
          <w:lang w:eastAsia="zh-Hans"/>
        </w:rPr>
        <w:t>操作手册》</w:t>
      </w:r>
      <w:r>
        <w:rPr>
          <w:rFonts w:hint="eastAsia" w:ascii="仿宋_GB2312" w:hAnsi="仿宋_GB2312" w:eastAsia="仿宋_GB2312" w:cs="仿宋_GB2312"/>
          <w:kern w:val="0"/>
          <w:sz w:val="32"/>
          <w:szCs w:val="32"/>
        </w:rPr>
        <w:t>（见附件8）</w:t>
      </w:r>
    </w:p>
    <w:p>
      <w:pPr>
        <w:keepNext w:val="0"/>
        <w:keepLines w:val="0"/>
        <w:pageBreakBefore w:val="0"/>
        <w:widowControl/>
        <w:shd w:val="clear" w:color="auto" w:fill="FFFFFF"/>
        <w:kinsoku/>
        <w:wordWrap/>
        <w:overflowPunct/>
        <w:topLinePunct w:val="0"/>
        <w:autoSpaceDE/>
        <w:autoSpaceDN/>
        <w:bidi w:val="0"/>
        <w:adjustRightInd/>
        <w:spacing w:after="0" w:line="560" w:lineRule="exact"/>
        <w:ind w:right="0" w:rightChars="0" w:firstLine="640"/>
        <w:textAlignment w:val="auto"/>
        <w:rPr>
          <w:rFonts w:hint="eastAsia" w:ascii="仿宋_GB2312" w:hAnsi="仿宋_GB2312" w:eastAsia="仿宋_GB2312" w:cs="仿宋_GB2312"/>
          <w:b/>
          <w:bCs/>
          <w:kern w:val="0"/>
          <w:sz w:val="32"/>
          <w:szCs w:val="32"/>
        </w:rPr>
      </w:pPr>
      <w:r>
        <w:rPr>
          <w:rFonts w:hint="eastAsia" w:ascii="仿宋_GB2312" w:hAnsi="仿宋_GB2312" w:eastAsia="仿宋_GB2312" w:cs="仿宋_GB2312"/>
          <w:kern w:val="0"/>
          <w:sz w:val="32"/>
          <w:szCs w:val="32"/>
        </w:rPr>
        <w:t>申报材料包括如下：</w:t>
      </w:r>
    </w:p>
    <w:p>
      <w:pPr>
        <w:keepNext w:val="0"/>
        <w:keepLines w:val="0"/>
        <w:pageBreakBefore w:val="0"/>
        <w:widowControl/>
        <w:shd w:val="clear" w:color="auto" w:fill="FFFFFF"/>
        <w:kinsoku/>
        <w:wordWrap/>
        <w:overflowPunct/>
        <w:topLinePunct w:val="0"/>
        <w:autoSpaceDE/>
        <w:autoSpaceDN/>
        <w:bidi w:val="0"/>
        <w:adjustRightInd/>
        <w:spacing w:after="0" w:line="560" w:lineRule="exact"/>
        <w:ind w:right="0" w:rightChars="0" w:firstLine="64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1.《石景山区虚拟现实产业专项资金项目（场景示范应用项目）申报书》（word版）（见附件6-1）；</w:t>
      </w:r>
    </w:p>
    <w:p>
      <w:pPr>
        <w:keepNext w:val="0"/>
        <w:keepLines w:val="0"/>
        <w:pageBreakBefore w:val="0"/>
        <w:widowControl/>
        <w:kinsoku/>
        <w:wordWrap/>
        <w:overflowPunct/>
        <w:topLinePunct w:val="0"/>
        <w:autoSpaceDE/>
        <w:autoSpaceDN/>
        <w:bidi w:val="0"/>
        <w:adjustRightInd/>
        <w:spacing w:after="0" w:line="56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2.《石景山区</w:t>
      </w:r>
      <w:r>
        <w:rPr>
          <w:rFonts w:hint="eastAsia" w:ascii="仿宋_GB2312" w:hAnsi="仿宋_GB2312" w:eastAsia="仿宋_GB2312" w:cs="仿宋_GB2312"/>
          <w:kern w:val="0"/>
          <w:sz w:val="32"/>
          <w:szCs w:val="32"/>
        </w:rPr>
        <w:t>虚拟现实产业</w:t>
      </w:r>
      <w:r>
        <w:rPr>
          <w:rFonts w:hint="eastAsia" w:ascii="仿宋_GB2312" w:hAnsi="仿宋_GB2312" w:eastAsia="仿宋_GB2312" w:cs="仿宋_GB2312"/>
          <w:sz w:val="32"/>
          <w:szCs w:val="32"/>
        </w:rPr>
        <w:t>经费预算支出计划及概算（</w:t>
      </w:r>
      <w:r>
        <w:rPr>
          <w:rFonts w:hint="eastAsia" w:ascii="仿宋_GB2312" w:hAnsi="仿宋_GB2312" w:eastAsia="仿宋_GB2312" w:cs="仿宋_GB2312"/>
          <w:kern w:val="0"/>
          <w:sz w:val="32"/>
          <w:szCs w:val="32"/>
        </w:rPr>
        <w:t>场景示范应用项目</w:t>
      </w:r>
      <w:r>
        <w:rPr>
          <w:rFonts w:hint="eastAsia" w:ascii="仿宋_GB2312" w:hAnsi="仿宋_GB2312" w:eastAsia="仿宋_GB2312" w:cs="仿宋_GB2312"/>
          <w:sz w:val="32"/>
          <w:szCs w:val="32"/>
        </w:rPr>
        <w:t>）》（见附件6-2）；</w:t>
      </w:r>
    </w:p>
    <w:p>
      <w:pPr>
        <w:keepNext w:val="0"/>
        <w:keepLines w:val="0"/>
        <w:pageBreakBefore w:val="0"/>
        <w:widowControl/>
        <w:kinsoku/>
        <w:wordWrap/>
        <w:overflowPunct/>
        <w:topLinePunct w:val="0"/>
        <w:autoSpaceDE/>
        <w:autoSpaceDN/>
        <w:bidi w:val="0"/>
        <w:adjustRightInd/>
        <w:spacing w:after="0" w:line="56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3.申报单位统一社会信用代码营业执照；</w:t>
      </w:r>
    </w:p>
    <w:p>
      <w:pPr>
        <w:keepNext w:val="0"/>
        <w:keepLines w:val="0"/>
        <w:pageBreakBefore w:val="0"/>
        <w:widowControl/>
        <w:kinsoku/>
        <w:wordWrap/>
        <w:overflowPunct/>
        <w:topLinePunct w:val="0"/>
        <w:autoSpaceDE/>
        <w:autoSpaceDN/>
        <w:bidi w:val="0"/>
        <w:adjustRightInd/>
        <w:spacing w:after="0" w:line="56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4.银行出具的《开户许可证》（基本存款账户）或《基本存款账户信息》（加盖公章的清晰PDF扫描件），并填写《企业基本存款账户信息表》（</w:t>
      </w:r>
      <w:r>
        <w:rPr>
          <w:rFonts w:hint="eastAsia" w:ascii="仿宋_GB2312" w:hAnsi="仿宋_GB2312" w:eastAsia="仿宋_GB2312" w:cs="仿宋_GB2312"/>
          <w:kern w:val="0"/>
          <w:sz w:val="32"/>
          <w:szCs w:val="32"/>
        </w:rPr>
        <w:t>word</w:t>
      </w:r>
      <w:r>
        <w:rPr>
          <w:rFonts w:hint="eastAsia" w:ascii="仿宋_GB2312" w:hAnsi="仿宋_GB2312" w:eastAsia="仿宋_GB2312" w:cs="仿宋_GB2312"/>
          <w:sz w:val="32"/>
          <w:szCs w:val="32"/>
        </w:rPr>
        <w:t>版，附件6-3）；</w:t>
      </w:r>
    </w:p>
    <w:p>
      <w:pPr>
        <w:keepNext w:val="0"/>
        <w:keepLines w:val="0"/>
        <w:pageBreakBefore w:val="0"/>
        <w:widowControl/>
        <w:kinsoku/>
        <w:wordWrap/>
        <w:overflowPunct/>
        <w:topLinePunct w:val="0"/>
        <w:autoSpaceDE/>
        <w:autoSpaceDN/>
        <w:bidi w:val="0"/>
        <w:adjustRightInd/>
        <w:spacing w:after="0" w:line="56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5.申报单位2024年度《审计报告》或《资产负债表》《利润表》《现金流量表》《纳税申报表》等；</w:t>
      </w:r>
    </w:p>
    <w:p>
      <w:pPr>
        <w:keepNext w:val="0"/>
        <w:keepLines w:val="0"/>
        <w:pageBreakBefore w:val="0"/>
        <w:widowControl/>
        <w:kinsoku/>
        <w:wordWrap/>
        <w:overflowPunct/>
        <w:topLinePunct w:val="0"/>
        <w:autoSpaceDE/>
        <w:autoSpaceDN/>
        <w:bidi w:val="0"/>
        <w:adjustRightInd/>
        <w:spacing w:after="0" w:line="56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6.申报项目拥有自主知识产权、技术先进性和创新性的相关材料；</w:t>
      </w:r>
    </w:p>
    <w:p>
      <w:pPr>
        <w:keepNext w:val="0"/>
        <w:keepLines w:val="0"/>
        <w:pageBreakBefore w:val="0"/>
        <w:widowControl/>
        <w:kinsoku/>
        <w:wordWrap/>
        <w:overflowPunct/>
        <w:topLinePunct w:val="0"/>
        <w:autoSpaceDE/>
        <w:autoSpaceDN/>
        <w:bidi w:val="0"/>
        <w:adjustRightInd/>
        <w:spacing w:after="0" w:line="56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7.国家高新技术企业、中关村高新技术企业、</w:t>
      </w:r>
      <w:r>
        <w:rPr>
          <w:rFonts w:hint="eastAsia" w:ascii="仿宋_GB2312" w:hAnsi="仿宋_GB2312" w:eastAsia="仿宋_GB2312" w:cs="仿宋_GB2312"/>
          <w:sz w:val="32"/>
          <w:szCs w:val="32"/>
          <w:lang w:eastAsia="zh-Hans"/>
        </w:rPr>
        <w:t>科技型中小企业</w:t>
      </w:r>
      <w:r>
        <w:rPr>
          <w:rFonts w:hint="eastAsia" w:ascii="仿宋_GB2312" w:hAnsi="仿宋_GB2312" w:eastAsia="仿宋_GB2312" w:cs="仿宋_GB2312"/>
          <w:sz w:val="32"/>
          <w:szCs w:val="32"/>
        </w:rPr>
        <w:t>等相关资质证明材料；</w:t>
      </w:r>
    </w:p>
    <w:p>
      <w:pPr>
        <w:keepNext w:val="0"/>
        <w:keepLines w:val="0"/>
        <w:pageBreakBefore w:val="0"/>
        <w:widowControl/>
        <w:kinsoku/>
        <w:wordWrap/>
        <w:overflowPunct/>
        <w:topLinePunct w:val="0"/>
        <w:autoSpaceDE/>
        <w:autoSpaceDN/>
        <w:bidi w:val="0"/>
        <w:adjustRightInd/>
        <w:spacing w:after="0" w:line="56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项目进展情况证明材料，包括：在项目期内申请或批复下来的专利、软件著作权，具有法定资质的第三方检测认证机构出具的检验报告或相关证书、签订的销售合同或协议、在产业功能区开展示范应用的证明材料等；</w:t>
      </w:r>
    </w:p>
    <w:p>
      <w:pPr>
        <w:keepNext w:val="0"/>
        <w:keepLines w:val="0"/>
        <w:pageBreakBefore w:val="0"/>
        <w:widowControl/>
        <w:kinsoku/>
        <w:wordWrap/>
        <w:overflowPunct/>
        <w:topLinePunct w:val="0"/>
        <w:autoSpaceDE/>
        <w:autoSpaceDN/>
        <w:bidi w:val="0"/>
        <w:adjustRightInd/>
        <w:spacing w:after="0" w:line="56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9.申报单位</w:t>
      </w:r>
      <w:r>
        <w:rPr>
          <w:rFonts w:hint="eastAsia" w:ascii="仿宋_GB2312" w:hAnsi="仿宋_GB2312" w:eastAsia="仿宋_GB2312" w:cs="仿宋_GB2312"/>
          <w:kern w:val="0"/>
          <w:sz w:val="32"/>
          <w:szCs w:val="32"/>
        </w:rPr>
        <w:t>项目管理及财务管理制度文件；</w:t>
      </w:r>
    </w:p>
    <w:p>
      <w:pPr>
        <w:keepNext w:val="0"/>
        <w:keepLines w:val="0"/>
        <w:pageBreakBefore w:val="0"/>
        <w:widowControl/>
        <w:kinsoku/>
        <w:wordWrap/>
        <w:overflowPunct/>
        <w:topLinePunct w:val="0"/>
        <w:autoSpaceDE/>
        <w:autoSpaceDN/>
        <w:bidi w:val="0"/>
        <w:adjustRightInd/>
        <w:spacing w:after="0" w:line="56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10.项目建议立项理由（200字以内）；</w:t>
      </w:r>
    </w:p>
    <w:p>
      <w:pPr>
        <w:keepNext w:val="0"/>
        <w:keepLines w:val="0"/>
        <w:pageBreakBefore w:val="0"/>
        <w:widowControl/>
        <w:kinsoku/>
        <w:wordWrap/>
        <w:overflowPunct/>
        <w:topLinePunct w:val="0"/>
        <w:autoSpaceDE/>
        <w:autoSpaceDN/>
        <w:bidi w:val="0"/>
        <w:adjustRightInd/>
        <w:spacing w:after="0" w:line="560" w:lineRule="exact"/>
        <w:ind w:right="0" w:rightChars="0" w:firstLine="640" w:firstLineChars="200"/>
        <w:textAlignment w:val="auto"/>
        <w:rPr>
          <w:rFonts w:hint="eastAsia" w:ascii="仿宋_GB2312" w:hAnsi="仿宋_GB2312" w:eastAsia="仿宋_GB2312" w:cs="仿宋_GB2312"/>
          <w:color w:val="FF0000"/>
          <w:sz w:val="32"/>
          <w:szCs w:val="32"/>
        </w:rPr>
      </w:pPr>
      <w:r>
        <w:rPr>
          <w:rFonts w:hint="eastAsia" w:ascii="仿宋_GB2312" w:hAnsi="仿宋_GB2312" w:eastAsia="仿宋_GB2312" w:cs="仿宋_GB2312"/>
          <w:sz w:val="32"/>
          <w:szCs w:val="32"/>
        </w:rPr>
        <w:t>11.承诺书（见附件6-4）。</w:t>
      </w:r>
    </w:p>
    <w:p>
      <w:pPr>
        <w:keepNext w:val="0"/>
        <w:keepLines w:val="0"/>
        <w:pageBreakBefore w:val="0"/>
        <w:widowControl/>
        <w:shd w:val="clear" w:color="auto" w:fill="FFFFFF"/>
        <w:kinsoku/>
        <w:wordWrap/>
        <w:overflowPunct/>
        <w:topLinePunct w:val="0"/>
        <w:autoSpaceDE/>
        <w:autoSpaceDN/>
        <w:bidi w:val="0"/>
        <w:adjustRightInd/>
        <w:spacing w:after="0" w:line="560" w:lineRule="exact"/>
        <w:ind w:right="0" w:rightChars="0" w:firstLine="640"/>
        <w:textAlignment w:val="auto"/>
        <w:rPr>
          <w:rFonts w:hint="eastAsia" w:ascii="楷体" w:hAnsi="楷体" w:eastAsia="楷体"/>
          <w:kern w:val="0"/>
          <w:sz w:val="32"/>
          <w:szCs w:val="32"/>
        </w:rPr>
      </w:pPr>
      <w:r>
        <w:rPr>
          <w:rFonts w:ascii="楷体" w:hAnsi="楷体" w:eastAsia="楷体"/>
          <w:kern w:val="0"/>
          <w:sz w:val="32"/>
          <w:szCs w:val="32"/>
        </w:rPr>
        <w:t>（二）书面材料</w:t>
      </w:r>
    </w:p>
    <w:p>
      <w:pPr>
        <w:keepNext w:val="0"/>
        <w:keepLines w:val="0"/>
        <w:pageBreakBefore w:val="0"/>
        <w:widowControl/>
        <w:kinsoku/>
        <w:wordWrap/>
        <w:overflowPunct/>
        <w:topLinePunct w:val="0"/>
        <w:autoSpaceDE/>
        <w:autoSpaceDN/>
        <w:bidi w:val="0"/>
        <w:adjustRightInd/>
        <w:spacing w:after="0" w:line="560" w:lineRule="exact"/>
        <w:ind w:right="0" w:rightChars="0" w:firstLine="640" w:firstLineChars="200"/>
        <w:textAlignment w:val="auto"/>
        <w:rPr>
          <w:rFonts w:hint="eastAsia" w:ascii="仿宋_GB2312" w:hAnsi="仿宋_GB2312" w:eastAsia="仿宋_GB2312" w:cs="仿宋_GB2312"/>
          <w:color w:val="FF0000"/>
          <w:sz w:val="32"/>
          <w:szCs w:val="32"/>
        </w:rPr>
      </w:pPr>
      <w:r>
        <w:rPr>
          <w:rFonts w:hint="eastAsia" w:ascii="仿宋_GB2312" w:hAnsi="仿宋_GB2312" w:eastAsia="仿宋_GB2312" w:cs="仿宋_GB2312"/>
          <w:sz w:val="32"/>
          <w:szCs w:val="32"/>
        </w:rPr>
        <w:t>书面材料一律采用A4纸双面打印，</w:t>
      </w:r>
      <w:r>
        <w:rPr>
          <w:rFonts w:hint="eastAsia" w:ascii="仿宋_GB2312" w:hAnsi="仿宋_GB2312" w:eastAsia="仿宋_GB2312" w:cs="仿宋_GB2312"/>
          <w:sz w:val="32"/>
          <w:szCs w:val="32"/>
          <w:lang w:val="zh-CN"/>
        </w:rPr>
        <w:t>不同类型材料之间用彩页隔开，</w:t>
      </w:r>
      <w:r>
        <w:rPr>
          <w:rFonts w:hint="eastAsia" w:ascii="仿宋_GB2312" w:hAnsi="仿宋_GB2312" w:eastAsia="仿宋_GB2312" w:cs="仿宋_GB2312"/>
          <w:sz w:val="32"/>
          <w:szCs w:val="32"/>
        </w:rPr>
        <w:t>胶装成册，一式6份，并在封面、盖章处和骑缝处盖单位公章。</w:t>
      </w:r>
    </w:p>
    <w:p>
      <w:pPr>
        <w:keepNext w:val="0"/>
        <w:keepLines w:val="0"/>
        <w:pageBreakBefore w:val="0"/>
        <w:kinsoku/>
        <w:wordWrap/>
        <w:overflowPunct/>
        <w:topLinePunct w:val="0"/>
        <w:autoSpaceDE/>
        <w:autoSpaceDN/>
        <w:bidi w:val="0"/>
        <w:adjustRightInd/>
        <w:spacing w:after="0" w:line="560" w:lineRule="exact"/>
        <w:ind w:right="0" w:rightChars="0" w:firstLine="627" w:firstLineChars="196"/>
        <w:textAlignment w:val="auto"/>
        <w:outlineLvl w:val="2"/>
        <w:rPr>
          <w:rFonts w:ascii="Times New Roman" w:hAnsi="Times New Roman" w:eastAsia="黑体"/>
          <w:sz w:val="32"/>
          <w:szCs w:val="32"/>
        </w:rPr>
      </w:pPr>
      <w:r>
        <w:rPr>
          <w:rFonts w:hint="eastAsia" w:ascii="Times New Roman" w:hAnsi="Times New Roman" w:eastAsia="黑体"/>
          <w:sz w:val="32"/>
          <w:szCs w:val="32"/>
        </w:rPr>
        <w:t>四</w:t>
      </w:r>
      <w:r>
        <w:rPr>
          <w:rFonts w:ascii="Times New Roman" w:hAnsi="Times New Roman" w:eastAsia="黑体"/>
          <w:sz w:val="32"/>
          <w:szCs w:val="32"/>
        </w:rPr>
        <w:t>、征集时间</w:t>
      </w:r>
    </w:p>
    <w:p>
      <w:pPr>
        <w:keepNext w:val="0"/>
        <w:keepLines w:val="0"/>
        <w:pageBreakBefore w:val="0"/>
        <w:kinsoku/>
        <w:wordWrap/>
        <w:overflowPunct/>
        <w:topLinePunct w:val="0"/>
        <w:autoSpaceDE/>
        <w:autoSpaceDN/>
        <w:bidi w:val="0"/>
        <w:adjustRightInd/>
        <w:spacing w:after="0" w:line="560" w:lineRule="exact"/>
        <w:ind w:right="0" w:rightChars="0" w:firstLine="640" w:firstLineChars="200"/>
        <w:textAlignment w:val="auto"/>
        <w:outlineLvl w:val="2"/>
        <w:rPr>
          <w:rFonts w:hint="eastAsia" w:ascii="仿宋_GB2312" w:hAnsi="仿宋_GB2312" w:eastAsia="仿宋_GB2312" w:cs="仿宋_GB2312"/>
          <w:color w:val="FF0000"/>
          <w:sz w:val="32"/>
          <w:szCs w:val="32"/>
        </w:rPr>
      </w:pPr>
      <w:r>
        <w:rPr>
          <w:rFonts w:hint="eastAsia" w:ascii="仿宋_GB2312" w:hAnsi="仿宋_GB2312" w:eastAsia="仿宋_GB2312" w:cs="仿宋_GB2312"/>
          <w:sz w:val="32"/>
          <w:szCs w:val="32"/>
          <w:lang w:eastAsia="zh-CN"/>
        </w:rPr>
        <w:t>在线申报截止时间：2025年9月26日，逾期申报将视为储备项目，不列入本次评审范畴。纸质版材料报送时间：另行通知</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spacing w:after="0" w:line="560" w:lineRule="exact"/>
        <w:ind w:right="0" w:rightChars="0" w:firstLine="627" w:firstLineChars="196"/>
        <w:textAlignment w:val="auto"/>
        <w:outlineLvl w:val="2"/>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、注意事项</w:t>
      </w:r>
    </w:p>
    <w:p>
      <w:pPr>
        <w:keepNext w:val="0"/>
        <w:keepLines w:val="0"/>
        <w:pageBreakBefore w:val="0"/>
        <w:widowControl/>
        <w:shd w:val="clear" w:color="auto" w:fill="FFFFFF"/>
        <w:kinsoku/>
        <w:wordWrap/>
        <w:overflowPunct/>
        <w:topLinePunct w:val="0"/>
        <w:autoSpaceDE/>
        <w:autoSpaceDN/>
        <w:bidi w:val="0"/>
        <w:adjustRightInd/>
        <w:spacing w:after="0" w:line="560" w:lineRule="exact"/>
        <w:ind w:right="0" w:rightChars="0"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（一）</w:t>
      </w:r>
      <w:r>
        <w:rPr>
          <w:rFonts w:hint="eastAsia" w:ascii="仿宋_GB2312" w:hAnsi="仿宋_GB2312" w:eastAsia="仿宋_GB2312" w:cs="仿宋_GB2312"/>
          <w:sz w:val="32"/>
          <w:szCs w:val="32"/>
        </w:rPr>
        <w:t>现阶段</w:t>
      </w:r>
      <w:r>
        <w:rPr>
          <w:rFonts w:hint="eastAsia" w:ascii="仿宋_GB2312" w:hAnsi="仿宋_GB2312" w:eastAsia="仿宋_GB2312" w:cs="仿宋_GB2312"/>
          <w:kern w:val="0"/>
          <w:sz w:val="32"/>
          <w:szCs w:val="32"/>
          <w:shd w:val="clear" w:color="auto" w:fill="FFFFFF"/>
        </w:rPr>
        <w:t>申报单位统一</w:t>
      </w:r>
      <w:r>
        <w:rPr>
          <w:rFonts w:hint="eastAsia" w:ascii="仿宋_GB2312" w:hAnsi="仿宋_GB2312" w:eastAsia="仿宋_GB2312" w:cs="仿宋_GB2312"/>
          <w:kern w:val="0"/>
          <w:sz w:val="32"/>
          <w:szCs w:val="32"/>
          <w:shd w:val="clear" w:color="auto" w:fill="FFFFFF"/>
          <w:lang w:eastAsia="zh-Hans"/>
        </w:rPr>
        <w:t>通过</w:t>
      </w:r>
      <w:r>
        <w:rPr>
          <w:rFonts w:hint="eastAsia" w:ascii="仿宋_GB2312" w:hAnsi="仿宋_GB2312" w:eastAsia="仿宋_GB2312" w:cs="仿宋_GB2312"/>
          <w:sz w:val="32"/>
          <w:szCs w:val="32"/>
          <w:lang w:val="zh-TW" w:eastAsia="zh-Hans"/>
        </w:rPr>
        <w:t>北京市人民政府门户网站“政策兑现”专区</w:t>
      </w:r>
      <w:r>
        <w:rPr>
          <w:rFonts w:hint="eastAsia" w:ascii="仿宋_GB2312" w:hAnsi="仿宋_GB2312" w:eastAsia="仿宋_GB2312" w:cs="仿宋_GB2312"/>
          <w:sz w:val="32"/>
          <w:szCs w:val="32"/>
          <w:lang w:val="zh-TW" w:eastAsia="zh-CN"/>
        </w:rPr>
        <w:t>或</w:t>
      </w:r>
      <w:r>
        <w:rPr>
          <w:rFonts w:ascii="Times New Roman" w:hAnsi="Times New Roman" w:eastAsia="仿宋_GB2312"/>
          <w:kern w:val="0"/>
          <w:sz w:val="32"/>
          <w:szCs w:val="32"/>
          <w:shd w:val="clear" w:color="auto" w:fill="FFFFFF"/>
        </w:rPr>
        <w:t>“</w:t>
      </w:r>
      <w:r>
        <w:rPr>
          <w:rFonts w:ascii="Times New Roman" w:hAnsi="Times New Roman" w:eastAsia="仿宋_GB2312"/>
          <w:kern w:val="0"/>
          <w:sz w:val="32"/>
          <w:szCs w:val="32"/>
          <w:shd w:val="clear" w:color="auto" w:fill="FFFFFF"/>
          <w:lang w:eastAsia="zh-Hans"/>
        </w:rPr>
        <w:t>石景山区企业综合服务平台</w:t>
      </w:r>
      <w:r>
        <w:rPr>
          <w:rFonts w:ascii="Times New Roman" w:hAnsi="Times New Roman" w:eastAsia="仿宋_GB2312"/>
          <w:kern w:val="0"/>
          <w:sz w:val="32"/>
          <w:szCs w:val="32"/>
          <w:shd w:val="clear" w:color="auto" w:fill="FFFFFF"/>
        </w:rPr>
        <w:t>”</w:t>
      </w:r>
      <w:r>
        <w:rPr>
          <w:rFonts w:ascii="Times New Roman" w:hAnsi="Times New Roman" w:eastAsia="仿宋_GB2312"/>
          <w:kern w:val="0"/>
          <w:sz w:val="32"/>
          <w:szCs w:val="32"/>
          <w:shd w:val="clear" w:color="auto" w:fill="FFFFFF"/>
          <w:lang w:eastAsia="zh-Hans"/>
        </w:rPr>
        <w:t>在</w:t>
      </w:r>
      <w:r>
        <w:rPr>
          <w:rFonts w:ascii="Times New Roman" w:hAnsi="Times New Roman" w:eastAsia="仿宋_GB2312"/>
          <w:kern w:val="0"/>
          <w:sz w:val="32"/>
          <w:szCs w:val="32"/>
        </w:rPr>
        <w:t>线填写申报信息并</w:t>
      </w:r>
      <w:r>
        <w:rPr>
          <w:rFonts w:ascii="Times New Roman" w:hAnsi="Times New Roman" w:eastAsia="仿宋_GB2312"/>
          <w:b/>
          <w:bCs/>
          <w:kern w:val="0"/>
          <w:sz w:val="32"/>
          <w:szCs w:val="32"/>
        </w:rPr>
        <w:t>打包上传</w:t>
      </w:r>
      <w:r>
        <w:rPr>
          <w:rFonts w:ascii="Times New Roman" w:hAnsi="Times New Roman" w:eastAsia="仿宋_GB2312"/>
          <w:b/>
          <w:bCs/>
          <w:sz w:val="32"/>
          <w:szCs w:val="32"/>
        </w:rPr>
        <w:t>申报材料</w:t>
      </w:r>
      <w:r>
        <w:rPr>
          <w:rFonts w:ascii="Times New Roman" w:hAnsi="Times New Roman" w:eastAsia="仿宋_GB2312"/>
          <w:sz w:val="32"/>
          <w:szCs w:val="32"/>
        </w:rPr>
        <w:t>，</w:t>
      </w:r>
      <w:r>
        <w:rPr>
          <w:rFonts w:ascii="Times New Roman" w:hAnsi="Times New Roman" w:eastAsia="仿宋_GB2312"/>
          <w:sz w:val="32"/>
          <w:szCs w:val="32"/>
          <w:lang w:eastAsia="zh-Hans"/>
        </w:rPr>
        <w:t>具体操作方式详见《石景山区企业综合服务平台政策</w:t>
      </w:r>
      <w:r>
        <w:rPr>
          <w:rFonts w:ascii="Times New Roman" w:hAnsi="Times New Roman" w:eastAsia="仿宋_GB2312"/>
          <w:sz w:val="32"/>
          <w:szCs w:val="32"/>
        </w:rPr>
        <w:t>兑现</w:t>
      </w:r>
      <w:r>
        <w:rPr>
          <w:rFonts w:ascii="Times New Roman" w:hAnsi="Times New Roman" w:eastAsia="仿宋_GB2312"/>
          <w:sz w:val="32"/>
          <w:szCs w:val="32"/>
          <w:lang w:eastAsia="zh-Hans"/>
        </w:rPr>
        <w:t>操作手册》。</w:t>
      </w:r>
    </w:p>
    <w:p>
      <w:pPr>
        <w:keepNext w:val="0"/>
        <w:keepLines w:val="0"/>
        <w:pageBreakBefore w:val="0"/>
        <w:widowControl/>
        <w:kinsoku/>
        <w:wordWrap/>
        <w:overflowPunct/>
        <w:topLinePunct w:val="0"/>
        <w:autoSpaceDE/>
        <w:autoSpaceDN/>
        <w:bidi w:val="0"/>
        <w:adjustRightInd/>
        <w:spacing w:after="0" w:line="560" w:lineRule="exact"/>
        <w:ind w:right="0" w:rightChars="0"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（二）请各申报单位如实填写信息，对于提供虚报信息等问题，一经发现，将被纳入失信记录，影响下一步政府资金申请。</w:t>
      </w:r>
    </w:p>
    <w:p>
      <w:pPr>
        <w:keepNext w:val="0"/>
        <w:keepLines w:val="0"/>
        <w:pageBreakBefore w:val="0"/>
        <w:widowControl/>
        <w:kinsoku/>
        <w:wordWrap/>
        <w:overflowPunct/>
        <w:topLinePunct w:val="0"/>
        <w:autoSpaceDE/>
        <w:autoSpaceDN/>
        <w:bidi w:val="0"/>
        <w:adjustRightInd/>
        <w:spacing w:after="0" w:line="560" w:lineRule="exact"/>
        <w:ind w:right="0" w:rightChars="0" w:firstLine="640" w:firstLineChars="200"/>
        <w:textAlignment w:val="auto"/>
        <w:rPr>
          <w:rFonts w:ascii="Times New Roman" w:hAnsi="Times New Roman" w:eastAsia="仿宋_GB2312"/>
        </w:rPr>
      </w:pPr>
      <w:r>
        <w:rPr>
          <w:rFonts w:ascii="Times New Roman" w:hAnsi="Times New Roman" w:eastAsia="仿宋_GB2312"/>
          <w:sz w:val="32"/>
          <w:szCs w:val="32"/>
        </w:rPr>
        <w:t>（三）项目按《石景山区科技计划项目（课题）管理办法》组织征集与受理、专家评审、网上公示、签订任务书、拨付经费、监督管理、经费结题审计、综合绩效评价管理等。</w:t>
      </w:r>
    </w:p>
    <w:p>
      <w:pPr>
        <w:keepNext w:val="0"/>
        <w:keepLines w:val="0"/>
        <w:pageBreakBefore w:val="0"/>
        <w:kinsoku/>
        <w:wordWrap/>
        <w:overflowPunct/>
        <w:topLinePunct w:val="0"/>
        <w:autoSpaceDE/>
        <w:autoSpaceDN/>
        <w:bidi w:val="0"/>
        <w:adjustRightInd/>
        <w:spacing w:after="0" w:line="560" w:lineRule="exact"/>
        <w:ind w:right="0" w:rightChars="0" w:firstLine="627" w:firstLineChars="196"/>
        <w:textAlignment w:val="auto"/>
        <w:outlineLvl w:val="2"/>
        <w:rPr>
          <w:rFonts w:ascii="Times New Roman" w:hAnsi="Times New Roman" w:eastAsia="黑体"/>
          <w:sz w:val="32"/>
          <w:szCs w:val="32"/>
        </w:rPr>
      </w:pPr>
      <w:r>
        <w:rPr>
          <w:rFonts w:hint="eastAsia" w:ascii="Times New Roman" w:hAnsi="Times New Roman" w:eastAsia="黑体"/>
          <w:sz w:val="32"/>
          <w:szCs w:val="32"/>
        </w:rPr>
        <w:t>六</w:t>
      </w:r>
      <w:r>
        <w:rPr>
          <w:rFonts w:ascii="Times New Roman" w:hAnsi="Times New Roman" w:eastAsia="黑体"/>
          <w:sz w:val="32"/>
          <w:szCs w:val="32"/>
        </w:rPr>
        <w:t>、联系方式</w:t>
      </w:r>
    </w:p>
    <w:p>
      <w:pPr>
        <w:keepNext w:val="0"/>
        <w:keepLines w:val="0"/>
        <w:pageBreakBefore w:val="0"/>
        <w:kinsoku/>
        <w:wordWrap/>
        <w:overflowPunct/>
        <w:topLinePunct w:val="0"/>
        <w:autoSpaceDE/>
        <w:autoSpaceDN/>
        <w:bidi w:val="0"/>
        <w:adjustRightInd/>
        <w:spacing w:after="0" w:line="560" w:lineRule="exact"/>
        <w:ind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咨询电话：010-88791372</w:t>
      </w:r>
    </w:p>
    <w:p>
      <w:pPr>
        <w:keepNext w:val="0"/>
        <w:keepLines w:val="0"/>
        <w:pageBreakBefore w:val="0"/>
        <w:kinsoku/>
        <w:wordWrap/>
        <w:overflowPunct/>
        <w:topLinePunct w:val="0"/>
        <w:autoSpaceDE/>
        <w:autoSpaceDN/>
        <w:bidi w:val="0"/>
        <w:adjustRightInd/>
        <w:spacing w:after="0" w:line="560" w:lineRule="exact"/>
        <w:ind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申报平台技术支持电话：010-81925754</w:t>
      </w:r>
    </w:p>
    <w:p>
      <w:pPr>
        <w:keepNext w:val="0"/>
        <w:keepLines w:val="0"/>
        <w:pageBreakBefore w:val="0"/>
        <w:kinsoku/>
        <w:wordWrap/>
        <w:overflowPunct/>
        <w:topLinePunct w:val="0"/>
        <w:autoSpaceDE/>
        <w:autoSpaceDN/>
        <w:bidi w:val="0"/>
        <w:adjustRightInd/>
        <w:spacing w:after="0" w:line="560" w:lineRule="exact"/>
        <w:ind w:right="0" w:rightChars="0" w:firstLine="640" w:firstLineChars="200"/>
        <w:textAlignment w:val="auto"/>
        <w:rPr>
          <w:rFonts w:hint="eastAsia" w:ascii="仿宋_GB2312" w:eastAsia="仿宋_GB2312"/>
          <w:sz w:val="32"/>
          <w:szCs w:val="32"/>
        </w:rPr>
      </w:pPr>
      <w:r>
        <w:rPr>
          <w:rFonts w:ascii="仿宋_GB2312" w:eastAsia="仿宋_GB2312"/>
          <w:sz w:val="32"/>
          <w:szCs w:val="32"/>
        </w:rPr>
        <w:t>（工作日9:30-11:30，14:00-17:00）</w:t>
      </w:r>
    </w:p>
    <w:p>
      <w:pPr>
        <w:keepNext w:val="0"/>
        <w:keepLines w:val="0"/>
        <w:pageBreakBefore w:val="0"/>
        <w:kinsoku/>
        <w:wordWrap/>
        <w:overflowPunct/>
        <w:topLinePunct w:val="0"/>
        <w:autoSpaceDE/>
        <w:autoSpaceDN/>
        <w:bidi w:val="0"/>
        <w:adjustRightInd/>
        <w:spacing w:after="0" w:line="560" w:lineRule="exact"/>
        <w:ind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纸质版材料报送地址：石景山区</w:t>
      </w:r>
      <w:r>
        <w:rPr>
          <w:rFonts w:hint="eastAsia" w:ascii="仿宋_GB2312" w:eastAsia="仿宋_GB2312"/>
          <w:sz w:val="32"/>
          <w:szCs w:val="32"/>
          <w:lang w:eastAsia="zh-CN"/>
        </w:rPr>
        <w:t>八角西街40号3号楼423室</w:t>
      </w:r>
    </w:p>
    <w:p>
      <w:pPr>
        <w:pStyle w:val="2"/>
        <w:keepNext w:val="0"/>
        <w:keepLines w:val="0"/>
        <w:pageBreakBefore w:val="0"/>
        <w:kinsoku/>
        <w:wordWrap/>
        <w:overflowPunct/>
        <w:topLinePunct w:val="0"/>
        <w:autoSpaceDE/>
        <w:autoSpaceDN/>
        <w:bidi w:val="0"/>
        <w:adjustRightInd/>
        <w:spacing w:after="0" w:line="560" w:lineRule="exact"/>
        <w:ind w:right="0" w:rightChars="0"/>
        <w:textAlignment w:val="auto"/>
        <w:rPr>
          <w:rFonts w:ascii="Times New Roman" w:hAnsi="Times New Roman"/>
          <w:color w:val="FF0000"/>
        </w:rPr>
      </w:pPr>
    </w:p>
    <w:p>
      <w:pPr>
        <w:keepNext w:val="0"/>
        <w:keepLines w:val="0"/>
        <w:pageBreakBefore w:val="0"/>
        <w:kinsoku/>
        <w:wordWrap/>
        <w:overflowPunct/>
        <w:topLinePunct w:val="0"/>
        <w:autoSpaceDE/>
        <w:autoSpaceDN/>
        <w:bidi w:val="0"/>
        <w:adjustRightInd/>
        <w:spacing w:after="0" w:line="560" w:lineRule="exact"/>
        <w:ind w:left="2097" w:leftChars="304" w:right="0" w:rightChars="0" w:hanging="1459" w:hangingChars="456"/>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附件：6-1.</w:t>
      </w:r>
      <w:r>
        <w:rPr>
          <w:rFonts w:hint="eastAsia" w:ascii="仿宋_GB2312" w:hAnsi="仿宋_GB2312" w:eastAsia="仿宋_GB2312" w:cs="仿宋_GB2312"/>
          <w:kern w:val="0"/>
          <w:sz w:val="32"/>
          <w:szCs w:val="32"/>
        </w:rPr>
        <w:t>申报书</w:t>
      </w:r>
    </w:p>
    <w:p>
      <w:pPr>
        <w:keepNext w:val="0"/>
        <w:keepLines w:val="0"/>
        <w:pageBreakBefore w:val="0"/>
        <w:kinsoku/>
        <w:wordWrap/>
        <w:overflowPunct/>
        <w:topLinePunct w:val="0"/>
        <w:autoSpaceDE/>
        <w:autoSpaceDN/>
        <w:bidi w:val="0"/>
        <w:adjustRightInd/>
        <w:spacing w:after="0" w:line="560" w:lineRule="exact"/>
        <w:ind w:left="2097" w:leftChars="761" w:right="0" w:rightChars="0" w:hanging="499" w:hangingChars="156"/>
        <w:textAlignment w:val="auto"/>
        <w:rPr>
          <w:rFonts w:hint="eastAsia" w:ascii="仿宋_GB2312" w:hAnsi="仿宋_GB2312" w:eastAsia="仿宋_GB2312" w:cs="仿宋_GB2312"/>
        </w:rPr>
      </w:pPr>
      <w:r>
        <w:rPr>
          <w:rFonts w:hint="eastAsia" w:ascii="仿宋_GB2312" w:hAnsi="仿宋_GB2312" w:eastAsia="仿宋_GB2312" w:cs="仿宋_GB2312"/>
          <w:sz w:val="32"/>
          <w:szCs w:val="32"/>
        </w:rPr>
        <w:t>6-2.经费预算支出计划及概算</w:t>
      </w:r>
    </w:p>
    <w:p>
      <w:pPr>
        <w:keepNext w:val="0"/>
        <w:keepLines w:val="0"/>
        <w:pageBreakBefore w:val="0"/>
        <w:kinsoku/>
        <w:wordWrap/>
        <w:overflowPunct/>
        <w:topLinePunct w:val="0"/>
        <w:autoSpaceDE/>
        <w:autoSpaceDN/>
        <w:bidi w:val="0"/>
        <w:adjustRightInd/>
        <w:spacing w:after="0" w:line="560" w:lineRule="exact"/>
        <w:ind w:left="2097" w:leftChars="761" w:right="0" w:rightChars="0" w:hanging="499" w:hangingChars="156"/>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6-3.企业基本存款账户信息表</w:t>
      </w:r>
    </w:p>
    <w:p>
      <w:pPr>
        <w:keepNext w:val="0"/>
        <w:keepLines w:val="0"/>
        <w:pageBreakBefore w:val="0"/>
        <w:kinsoku/>
        <w:wordWrap/>
        <w:overflowPunct/>
        <w:topLinePunct w:val="0"/>
        <w:autoSpaceDE/>
        <w:autoSpaceDN/>
        <w:bidi w:val="0"/>
        <w:adjustRightInd/>
        <w:spacing w:after="0" w:line="560" w:lineRule="exact"/>
        <w:ind w:right="0" w:rightChars="0" w:firstLine="1600" w:firstLineChars="5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6-4.承诺书</w:t>
      </w:r>
    </w:p>
    <w:p>
      <w:pPr>
        <w:pStyle w:val="2"/>
        <w:keepNext w:val="0"/>
        <w:keepLines w:val="0"/>
        <w:pageBreakBefore w:val="0"/>
        <w:kinsoku/>
        <w:wordWrap/>
        <w:overflowPunct/>
        <w:topLinePunct w:val="0"/>
        <w:autoSpaceDE/>
        <w:autoSpaceDN/>
        <w:bidi w:val="0"/>
        <w:adjustRightInd/>
        <w:spacing w:after="0" w:line="560" w:lineRule="exact"/>
        <w:ind w:right="0" w:rightChars="0"/>
        <w:textAlignment w:val="auto"/>
        <w:rPr>
          <w:rFonts w:hint="eastAsia" w:ascii="仿宋_GB2312" w:hAnsi="仿宋_GB2312" w:eastAsia="仿宋_GB2312" w:cs="仿宋_GB2312"/>
        </w:rPr>
      </w:pPr>
    </w:p>
    <w:p>
      <w:pPr>
        <w:keepNext w:val="0"/>
        <w:keepLines w:val="0"/>
        <w:pageBreakBefore w:val="0"/>
        <w:widowControl/>
        <w:kinsoku/>
        <w:wordWrap/>
        <w:overflowPunct/>
        <w:topLinePunct w:val="0"/>
        <w:autoSpaceDE/>
        <w:autoSpaceDN/>
        <w:bidi w:val="0"/>
        <w:adjustRightInd/>
        <w:spacing w:after="0" w:line="560" w:lineRule="exact"/>
        <w:ind w:right="0" w:rightChars="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中关村科技园区石景山园管理委员会</w:t>
      </w:r>
    </w:p>
    <w:p>
      <w:pPr>
        <w:keepNext w:val="0"/>
        <w:keepLines w:val="0"/>
        <w:pageBreakBefore w:val="0"/>
        <w:widowControl/>
        <w:kinsoku/>
        <w:wordWrap/>
        <w:overflowPunct/>
        <w:topLinePunct w:val="0"/>
        <w:autoSpaceDE/>
        <w:autoSpaceDN/>
        <w:bidi w:val="0"/>
        <w:adjustRightInd/>
        <w:spacing w:after="0" w:line="56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石景山区科学技术委员会</w:t>
      </w:r>
    </w:p>
    <w:p>
      <w:pPr>
        <w:pStyle w:val="2"/>
        <w:keepNext w:val="0"/>
        <w:keepLines w:val="0"/>
        <w:pageBreakBefore w:val="0"/>
        <w:kinsoku/>
        <w:wordWrap/>
        <w:overflowPunct/>
        <w:topLinePunct w:val="0"/>
        <w:autoSpaceDE/>
        <w:autoSpaceDN/>
        <w:bidi w:val="0"/>
        <w:adjustRightInd/>
        <w:spacing w:after="0" w:line="560" w:lineRule="exact"/>
        <w:ind w:right="0" w:rightChars="0" w:firstLine="3840" w:firstLineChars="1200"/>
        <w:textAlignment w:val="auto"/>
        <w:rPr>
          <w:rFonts w:hint="eastAsia" w:ascii="仿宋_GB2312" w:hAnsi="仿宋_GB2312" w:eastAsia="仿宋_GB2312" w:cs="仿宋_GB2312"/>
        </w:rPr>
      </w:pPr>
      <w:r>
        <w:rPr>
          <w:rFonts w:hint="eastAsia" w:ascii="仿宋_GB2312" w:hAnsi="仿宋_GB2312" w:eastAsia="仿宋_GB2312" w:cs="仿宋_GB2312"/>
          <w:sz w:val="32"/>
          <w:szCs w:val="32"/>
        </w:rPr>
        <w:t>2025年</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17</w:t>
      </w:r>
      <w:r>
        <w:rPr>
          <w:rFonts w:hint="eastAsia" w:ascii="仿宋_GB2312" w:hAnsi="仿宋_GB2312" w:eastAsia="仿宋_GB2312" w:cs="仿宋_GB2312"/>
          <w:sz w:val="32"/>
          <w:szCs w:val="32"/>
        </w:rPr>
        <w:t>日</w:t>
      </w:r>
    </w:p>
    <w:p>
      <w:pPr>
        <w:keepNext w:val="0"/>
        <w:keepLines w:val="0"/>
        <w:pageBreakBefore w:val="0"/>
        <w:kinsoku/>
        <w:wordWrap/>
        <w:overflowPunct/>
        <w:topLinePunct w:val="0"/>
        <w:autoSpaceDE/>
        <w:autoSpaceDN/>
        <w:bidi w:val="0"/>
        <w:adjustRightInd/>
        <w:spacing w:after="0" w:line="560" w:lineRule="exact"/>
        <w:ind w:right="0" w:rightChars="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书宋_GBK">
    <w:altName w:val="微软雅黑"/>
    <w:panose1 w:val="02000000000000000000"/>
    <w:charset w:val="86"/>
    <w:family w:val="auto"/>
    <w:pitch w:val="default"/>
    <w:sig w:usb0="00000000" w:usb1="0000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Courier New">
    <w:panose1 w:val="02070309020205020404"/>
    <w:charset w:val="00"/>
    <w:family w:val="modern"/>
    <w:pitch w:val="default"/>
    <w:sig w:usb0="E0002AFF" w:usb1="C0007843" w:usb2="00000009" w:usb3="00000000" w:csb0="400001FF" w:csb1="FFFF0000"/>
  </w:font>
  <w:font w:name="Arial Unicode MS">
    <w:altName w:val="Arial"/>
    <w:panose1 w:val="020B0604020202020204"/>
    <w:charset w:val="00"/>
    <w:family w:val="auto"/>
    <w:pitch w:val="default"/>
    <w:sig w:usb0="00000000" w:usb1="00000000" w:usb2="0000003F" w:usb3="00000000" w:csb0="603F01FF" w:csb1="FFFF0000"/>
  </w:font>
  <w:font w:name="Arial">
    <w:panose1 w:val="020B0604020202020204"/>
    <w:charset w:val="00"/>
    <w:family w:val="auto"/>
    <w:pitch w:val="default"/>
    <w:sig w:usb0="E0002A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方正小标宋_GBK">
    <w:altName w:val="微软雅黑"/>
    <w:panose1 w:val="02000000000000000000"/>
    <w:charset w:val="86"/>
    <w:family w:val="script"/>
    <w:pitch w:val="default"/>
    <w:sig w:usb0="00000000" w:usb1="00000000" w:usb2="00000000" w:usb3="00000000" w:csb0="00040000" w:csb1="00000000"/>
  </w:font>
  <w:font w:name="方正仿宋_GB2312">
    <w:altName w:val="仿宋"/>
    <w:panose1 w:val="00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方正仿宋_GB18030">
    <w:altName w:val="仿宋"/>
    <w:panose1 w:val="00000000000000000000"/>
    <w:charset w:val="00"/>
    <w:family w:val="auto"/>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汉仪仿宋简">
    <w:altName w:val="仿宋"/>
    <w:panose1 w:val="02010600000101010101"/>
    <w:charset w:val="86"/>
    <w:family w:val="auto"/>
    <w:pitch w:val="default"/>
    <w:sig w:usb0="00000000" w:usb1="00000000" w:usb2="00000002" w:usb3="00000000" w:csb0="00040000" w:csb1="00000000"/>
  </w:font>
  <w:font w:name="DejaVu Sans">
    <w:altName w:val="Segoe Print"/>
    <w:panose1 w:val="020B0603030804020204"/>
    <w:charset w:val="00"/>
    <w:family w:val="auto"/>
    <w:pitch w:val="default"/>
    <w:sig w:usb0="00000000" w:usb1="00000000" w:usb2="0A246029" w:usb3="0400200C" w:csb0="600001FF" w:csb1="DFFF0000"/>
  </w:font>
  <w:font w:name="Impact">
    <w:panose1 w:val="020B0806030902050204"/>
    <w:charset w:val="00"/>
    <w:family w:val="auto"/>
    <w:pitch w:val="default"/>
    <w:sig w:usb0="00000287" w:usb1="00000000" w:usb2="00000000" w:usb3="00000000" w:csb0="2000009F" w:csb1="DFD70000"/>
  </w:font>
  <w:font w:name="CESI宋体-GB13000">
    <w:altName w:val="宋体"/>
    <w:panose1 w:val="02000500000000000000"/>
    <w:charset w:val="86"/>
    <w:family w:val="auto"/>
    <w:pitch w:val="default"/>
    <w:sig w:usb0="00000000" w:usb1="00000000" w:usb2="00000016" w:usb3="00000000" w:csb0="0004000F" w:csb1="00000000"/>
  </w:font>
  <w:font w:name="国标宋体">
    <w:altName w:val="宋体"/>
    <w:panose1 w:val="02000500000000000000"/>
    <w:charset w:val="86"/>
    <w:family w:val="auto"/>
    <w:pitch w:val="default"/>
    <w:sig w:usb0="00000000" w:usb1="00000000" w:usb2="00000000" w:usb3="00000000" w:csb0="00060007"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Wingdings">
    <w:panose1 w:val="05000000000000000000"/>
    <w:charset w:val="00"/>
    <w:family w:val="auto"/>
    <w:pitch w:val="default"/>
    <w:sig w:usb0="00000000" w:usb1="00000000" w:usb2="00000000" w:usb3="00000000" w:csb0="80000000" w:csb1="00000000"/>
  </w:font>
  <w:font w:name="等线 Light">
    <w:altName w:val="Segoe Print"/>
    <w:panose1 w:val="00000000000000000000"/>
    <w:charset w:val="00"/>
    <w:family w:val="auto"/>
    <w:pitch w:val="default"/>
    <w:sig w:usb0="00000000" w:usb1="00000000" w:usb2="00000000" w:usb3="00000000" w:csb0="00000000" w:csb1="00000000"/>
  </w:font>
  <w:font w:name="Arial Unicode MS">
    <w:altName w:val="宋体"/>
    <w:panose1 w:val="020B0604020202020204"/>
    <w:charset w:val="86"/>
    <w:family w:val="auto"/>
    <w:pitch w:val="default"/>
    <w:sig w:usb0="00000000" w:usb1="00000000" w:usb2="0000003F" w:usb3="00000000" w:csb0="603F01FF" w:csb1="FFFF0000"/>
  </w:font>
  <w:font w:name="等线">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EA1A53"/>
    <w:rsid w:val="190D2CC5"/>
    <w:rsid w:val="5B9D5F63"/>
    <w:rsid w:val="74C41310"/>
    <w:rsid w:val="7B293D8D"/>
    <w:rsid w:val="7C263E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toc 3"/>
    <w:basedOn w:val="1"/>
    <w:next w:val="1"/>
    <w:qFormat/>
    <w:uiPriority w:val="0"/>
    <w:pPr>
      <w:spacing w:after="160" w:line="278" w:lineRule="auto"/>
      <w:ind w:left="840" w:leftChars="400"/>
    </w:pPr>
    <w:rPr>
      <w:rFonts w:ascii="Calibri" w:hAnsi="Calibri" w:eastAsia="宋体" w:cs="Times New Roman"/>
      <w:szCs w:val="24"/>
      <w14:ligatures w14: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产业促进二科-张红</cp:lastModifiedBy>
  <dcterms:modified xsi:type="dcterms:W3CDTF">2025-09-17T08:19:36Z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