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Times New Roman" w:eastAsia="方正小标宋简体"/>
          <w:w w:val="90"/>
          <w:sz w:val="44"/>
          <w:szCs w:val="44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石景山区虚拟现实产业专项资金项目经费预算支出计划及概算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w w:val="90"/>
          <w:sz w:val="44"/>
          <w:szCs w:val="44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（</w:t>
      </w:r>
      <w:r>
        <w:rPr>
          <w:rFonts w:ascii="方正小标宋简体" w:hAnsi="Times New Roman" w:eastAsia="方正小标宋简体"/>
          <w:w w:val="90"/>
          <w:sz w:val="44"/>
          <w:szCs w:val="44"/>
        </w:rPr>
        <w:t>场景示范应用</w:t>
      </w: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项目）</w:t>
      </w:r>
    </w:p>
    <w:p>
      <w:pPr>
        <w:pStyle w:val="2"/>
      </w:pPr>
    </w:p>
    <w:p>
      <w:pPr>
        <w:spacing w:line="520" w:lineRule="exact"/>
        <w:rPr>
          <w:rFonts w:hint="eastAsia" w:ascii="黑体" w:hAnsi="黑体" w:eastAsia="黑体"/>
          <w:b/>
          <w:kern w:val="0"/>
          <w:sz w:val="24"/>
        </w:rPr>
      </w:pPr>
      <w:r>
        <w:rPr>
          <w:rFonts w:ascii="黑体" w:hAnsi="黑体" w:eastAsia="黑体"/>
          <w:b/>
          <w:kern w:val="0"/>
          <w:sz w:val="24"/>
        </w:rPr>
        <w:t>项目名称: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24"/>
        </w:rPr>
        <w:t>申请方向：</w:t>
      </w:r>
      <w:r>
        <w:rPr>
          <w:rFonts w:hint="eastAsia" w:ascii="黑体" w:hAnsi="黑体" w:eastAsia="黑体"/>
          <w:b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□</w:t>
      </w:r>
      <w:r>
        <w:rPr>
          <w:rFonts w:hint="eastAsia" w:ascii="黑体" w:hAnsi="黑体" w:eastAsia="黑体"/>
          <w:sz w:val="24"/>
          <w:lang w:eastAsia="zh-Hans"/>
        </w:rPr>
        <w:t>区级</w:t>
      </w:r>
      <w:r>
        <w:rPr>
          <w:rFonts w:ascii="黑体" w:hAnsi="黑体" w:eastAsia="黑体"/>
          <w:sz w:val="24"/>
        </w:rPr>
        <w:t>场景示范应用</w:t>
      </w:r>
      <w:r>
        <w:rPr>
          <w:rFonts w:hint="eastAsia" w:ascii="黑体" w:hAnsi="黑体" w:eastAsia="黑体"/>
          <w:sz w:val="32"/>
          <w:szCs w:val="32"/>
        </w:rPr>
        <w:t xml:space="preserve">  </w:t>
      </w:r>
    </w:p>
    <w:p>
      <w:pPr>
        <w:ind w:left="0" w:leftChars="0" w:firstLine="1257" w:firstLineChars="393"/>
        <w:rPr>
          <w:rFonts w:hint="eastAsia" w:ascii="黑体" w:hAnsi="黑体" w:eastAsia="黑体"/>
          <w:sz w:val="24"/>
          <w:lang w:eastAsia="zh-Hans"/>
        </w:rPr>
      </w:pPr>
      <w:r>
        <w:rPr>
          <w:rFonts w:hint="eastAsia" w:ascii="Times New Roman" w:hAnsi="Times New Roman" w:eastAsia="黑体"/>
          <w:sz w:val="32"/>
          <w:szCs w:val="32"/>
        </w:rPr>
        <w:t>□</w:t>
      </w:r>
      <w:r>
        <w:rPr>
          <w:rFonts w:hint="eastAsia" w:ascii="黑体" w:hAnsi="黑体" w:eastAsia="黑体"/>
          <w:sz w:val="24"/>
          <w:lang w:eastAsia="zh-Hans"/>
        </w:rPr>
        <w:t>市级</w:t>
      </w:r>
      <w:r>
        <w:rPr>
          <w:rFonts w:ascii="黑体" w:hAnsi="黑体" w:eastAsia="黑体"/>
          <w:sz w:val="24"/>
          <w:lang w:eastAsia="zh-Hans"/>
        </w:rPr>
        <w:t>场景示范应用</w:t>
      </w:r>
    </w:p>
    <w:p>
      <w:pPr>
        <w:spacing w:line="520" w:lineRule="exact"/>
        <w:rPr>
          <w:rFonts w:hint="eastAsia" w:ascii="黑体" w:hAnsi="黑体" w:eastAsia="黑体"/>
          <w:b/>
          <w:kern w:val="0"/>
          <w:sz w:val="24"/>
        </w:rPr>
      </w:pPr>
      <w:r>
        <w:rPr>
          <w:rFonts w:ascii="黑体" w:hAnsi="黑体" w:eastAsia="黑体"/>
          <w:b/>
          <w:kern w:val="0"/>
          <w:sz w:val="24"/>
        </w:rPr>
        <w:t>承担单位:</w:t>
      </w:r>
    </w:p>
    <w:p>
      <w:pPr>
        <w:spacing w:line="520" w:lineRule="exact"/>
        <w:rPr>
          <w:rFonts w:hint="eastAsia" w:ascii="黑体" w:hAnsi="黑体" w:eastAsia="黑体"/>
          <w:b/>
          <w:kern w:val="0"/>
          <w:sz w:val="24"/>
        </w:rPr>
      </w:pPr>
      <w:r>
        <w:rPr>
          <w:rFonts w:ascii="黑体" w:hAnsi="黑体" w:eastAsia="黑体"/>
          <w:b/>
          <w:kern w:val="0"/>
          <w:sz w:val="24"/>
        </w:rPr>
        <w:t>项目联系人:</w:t>
      </w:r>
    </w:p>
    <w:p>
      <w:pPr>
        <w:spacing w:line="520" w:lineRule="exact"/>
        <w:rPr>
          <w:rFonts w:hint="eastAsia" w:ascii="黑体" w:hAnsi="黑体" w:eastAsia="黑体"/>
          <w:b/>
          <w:kern w:val="0"/>
          <w:sz w:val="24"/>
        </w:rPr>
      </w:pPr>
      <w:r>
        <w:rPr>
          <w:rFonts w:ascii="黑体" w:hAnsi="黑体" w:eastAsia="黑体"/>
          <w:b/>
          <w:kern w:val="0"/>
          <w:sz w:val="24"/>
        </w:rPr>
        <w:t>联系电话：</w:t>
      </w:r>
    </w:p>
    <w:tbl>
      <w:tblPr>
        <w:tblStyle w:val="4"/>
        <w:tblW w:w="88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1、项目经费来源：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 源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费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源</w:t>
            </w:r>
          </w:p>
        </w:tc>
        <w:tc>
          <w:tcPr>
            <w:tcW w:w="40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市科技经费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国家科技拨款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项目承担单位自筹经费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 他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 计</w:t>
            </w:r>
          </w:p>
        </w:tc>
        <w:tc>
          <w:tcPr>
            <w:tcW w:w="430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2、经费支出明细：  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科目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接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费用</w:t>
            </w: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  <w:shd w:val="clear" w:color="auto" w:fill="FFFFFF"/>
              </w:rPr>
              <w:t>设备费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材料费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测试化验加工费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燃料动力费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差旅费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会议费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国际合作与交流费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档案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出版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文献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信息传播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知识产权事务费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劳务费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咨询费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其他费用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直接经费小计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间接费用</w:t>
            </w: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"/>
              </w:rPr>
            </w:pPr>
            <w:r>
              <w:rPr>
                <w:rFonts w:ascii="宋体" w:hAnsi="宋体" w:eastAsia="宋体"/>
                <w:szCs w:val="21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间接经费小计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计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spacing w:after="120"/>
        <w:ind w:firstLine="211" w:firstLineChars="100"/>
        <w:rPr>
          <w:rFonts w:ascii="Times New Roman" w:hAnsi="Times New Roman"/>
          <w:b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备注：此表格项目经费来源各项金额应与《申报书》中“九、项目经费预算”保持一致，经费支出预算可在项目期内根据项目实施调整年份。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一、直接费用是指在项目实施过程中发生的与之直接相关的费用。包括：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（二）材料费：主要用于在项目（课题）实施过程中消耗的各种原材料、辅助材料等低值易耗品的采购及运输、装卸、整理等费用。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（四）燃料动力费：主要用于在项目（课题）实施过程中相关大型仪器设备、专用科学装置等运行发生的可以单独测算的水、电、气、燃料消耗等费用。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（五）差旅费：开展科学实验（试验）、科学考察、业务调研、学术交流等所发生的城市间交通费、住宿费、伙食补助费和市内交通费。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（六）会议费：主要用于在项目（课题）实施过程中为组织开展学术研讨、咨询论证，以及组织协调项目或课题等活动而发生的会议费用。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（七）国际合作与交流费：研究人员出国及外国专家来华开展科学技术交流与合作的费用。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（八）档案</w:t>
      </w:r>
      <w:r>
        <w:rPr>
          <w:rFonts w:ascii="宋体" w:hAnsi="宋体" w:eastAsia="宋体"/>
          <w:sz w:val="24"/>
          <w:lang w:val="en"/>
        </w:rPr>
        <w:t>/</w:t>
      </w:r>
      <w:r>
        <w:rPr>
          <w:rFonts w:ascii="宋体" w:hAnsi="宋体" w:eastAsia="宋体"/>
          <w:sz w:val="24"/>
        </w:rPr>
        <w:t>出版</w:t>
      </w:r>
      <w:r>
        <w:rPr>
          <w:rFonts w:ascii="宋体" w:hAnsi="宋体" w:eastAsia="宋体"/>
          <w:sz w:val="24"/>
          <w:lang w:val="en"/>
        </w:rPr>
        <w:t>/</w:t>
      </w:r>
      <w:r>
        <w:rPr>
          <w:rFonts w:ascii="宋体" w:hAnsi="宋体" w:eastAsia="宋体"/>
          <w:sz w:val="24"/>
        </w:rPr>
        <w:t>文献</w:t>
      </w:r>
      <w:r>
        <w:rPr>
          <w:rFonts w:ascii="宋体" w:hAnsi="宋体" w:eastAsia="宋体"/>
          <w:sz w:val="24"/>
          <w:lang w:val="en"/>
        </w:rPr>
        <w:t>/</w:t>
      </w:r>
      <w:r>
        <w:rPr>
          <w:rFonts w:ascii="宋体" w:hAnsi="宋体" w:eastAsia="宋体"/>
          <w:sz w:val="24"/>
        </w:rPr>
        <w:t>信息传播</w:t>
      </w:r>
      <w:r>
        <w:rPr>
          <w:rFonts w:ascii="宋体" w:hAnsi="宋体" w:eastAsia="宋体"/>
          <w:sz w:val="24"/>
          <w:lang w:val="en"/>
        </w:rPr>
        <w:t>/</w:t>
      </w:r>
      <w:r>
        <w:rPr>
          <w:rFonts w:ascii="宋体" w:hAnsi="宋体" w:eastAsia="宋体"/>
          <w:sz w:val="24"/>
        </w:rPr>
        <w:t>知识产权事务费：主要用于在项目（课题）实施过程中，需要支付的出版、资料购买及印刷、文献检索、专业通信、专利申请及其他知识产权事务等费用。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（十）咨询费：主要用于项目（课题）实施过程中支付给临时聘请的咨询专家的费用。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</w:rPr>
      </w:pPr>
      <w:r>
        <w:rPr>
          <w:rFonts w:ascii="宋体" w:hAnsi="宋体" w:eastAsia="宋体"/>
          <w:sz w:val="24"/>
        </w:rPr>
        <w:t>（十一）其他费用：主要用于项目（课题）实施过程中除上述支出之外的其他业务费支出。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二、间接费用指项目（课题）承担单位在组织实施项目（课题）过程中发生的无法在直接费用中列支的相关费用。主要包括绩效支出及管理费。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（十二）绩效支出：是项目（课题）承担单位为提高科研工作绩效安排的相关支出。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>
      <w:pPr>
        <w:widowControl/>
        <w:spacing w:line="36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注：间接费用不超过项目经费中直接费用扣除设备费后的30%核定。</w:t>
      </w:r>
    </w:p>
    <w:p>
      <w:pPr>
        <w:widowControl/>
        <w:spacing w:line="500" w:lineRule="exact"/>
        <w:ind w:firstLine="480" w:firstLineChars="200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ascii="宋体" w:hAnsi="宋体" w:eastAsia="宋体"/>
          <w:sz w:val="24"/>
          <w:lang w:val="zh-CN"/>
        </w:rPr>
        <w:br w:type="page"/>
      </w:r>
      <w:r>
        <w:rPr>
          <w:rFonts w:hint="eastAsia" w:ascii="方正小标宋简体" w:hAnsi="Times New Roman" w:eastAsia="方正小标宋简体"/>
          <w:sz w:val="44"/>
          <w:szCs w:val="44"/>
        </w:rPr>
        <w:t>项目支出预算明细</w:t>
      </w:r>
    </w:p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一、设备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ascii="宋体" w:hAnsi="宋体" w:eastAsia="宋体"/>
          <w:sz w:val="28"/>
          <w:szCs w:val="28"/>
        </w:rPr>
        <w:t>应附设备三方报价、询价、比价单等材料。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设备费明细表                单位：元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78"/>
        <w:gridCol w:w="772"/>
        <w:gridCol w:w="562"/>
        <w:gridCol w:w="700"/>
        <w:gridCol w:w="653"/>
        <w:gridCol w:w="1532"/>
        <w:gridCol w:w="1007"/>
        <w:gridCol w:w="1083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发生（计划）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日期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报价单等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二、材料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ascii="宋体" w:hAnsi="宋体" w:eastAsia="宋体"/>
          <w:b/>
          <w:bCs/>
          <w:sz w:val="24"/>
          <w:szCs w:val="24"/>
        </w:rPr>
        <w:t>材料费明细表             单位：元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85"/>
        <w:gridCol w:w="585"/>
        <w:gridCol w:w="697"/>
        <w:gridCol w:w="728"/>
        <w:gridCol w:w="1511"/>
        <w:gridCol w:w="1543"/>
        <w:gridCol w:w="972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三、测试化验加工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测试化验加工费明细表  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</w:t>
      </w:r>
      <w:r>
        <w:rPr>
          <w:rFonts w:ascii="宋体" w:hAnsi="宋体" w:eastAsia="宋体"/>
          <w:b/>
          <w:bCs/>
          <w:sz w:val="24"/>
          <w:szCs w:val="24"/>
        </w:rPr>
        <w:t>单位：元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93"/>
        <w:gridCol w:w="590"/>
        <w:gridCol w:w="675"/>
        <w:gridCol w:w="685"/>
        <w:gridCol w:w="1522"/>
        <w:gridCol w:w="1103"/>
        <w:gridCol w:w="102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四、燃料动力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 燃料动力费明细表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</w:t>
      </w:r>
      <w:r>
        <w:rPr>
          <w:rFonts w:ascii="宋体" w:hAnsi="宋体" w:eastAsia="宋体"/>
          <w:b/>
          <w:bCs/>
          <w:sz w:val="24"/>
          <w:szCs w:val="24"/>
        </w:rPr>
        <w:t xml:space="preserve">      单位：元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90"/>
        <w:gridCol w:w="675"/>
        <w:gridCol w:w="707"/>
        <w:gridCol w:w="686"/>
        <w:gridCol w:w="1585"/>
        <w:gridCol w:w="1086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五、差旅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>
      <w:pPr>
        <w:rPr>
          <w:rFonts w:ascii="Times New Roman" w:hAnsi="Times New Roman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差旅费预算明细表           单位：元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8"/>
        <w:gridCol w:w="675"/>
        <w:gridCol w:w="718"/>
        <w:gridCol w:w="697"/>
        <w:gridCol w:w="696"/>
        <w:gridCol w:w="439"/>
        <w:gridCol w:w="707"/>
        <w:gridCol w:w="1533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jc w:val="left"/>
        <w:rPr>
          <w:rFonts w:hint="eastAsia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表格内容仅供参考，可根据实际进行增加。</w:t>
      </w:r>
    </w:p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六、会议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应说明拟举办会议的主要内容、参会人员数量、天数、标准等，填写会议费预算明细表。</w:t>
      </w:r>
    </w:p>
    <w:p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会议费预算明细表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466"/>
        <w:gridCol w:w="1061"/>
        <w:gridCol w:w="653"/>
        <w:gridCol w:w="664"/>
        <w:gridCol w:w="793"/>
        <w:gridCol w:w="707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七、国际合作与交流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</w:t>
      </w:r>
      <w:r>
        <w:rPr>
          <w:rFonts w:ascii="宋体" w:hAnsi="宋体" w:eastAsia="宋体"/>
          <w:b/>
          <w:bCs/>
          <w:sz w:val="24"/>
          <w:szCs w:val="24"/>
        </w:rPr>
        <w:t xml:space="preserve">国际合作与交流费预算明细表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</w:t>
      </w:r>
      <w:r>
        <w:rPr>
          <w:rFonts w:ascii="宋体" w:hAnsi="宋体" w:eastAsia="宋体"/>
          <w:b/>
          <w:bCs/>
          <w:sz w:val="24"/>
          <w:szCs w:val="24"/>
        </w:rPr>
        <w:t xml:space="preserve">    单位：元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时间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(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天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八、档案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出版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文献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信息传播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知识产权事务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出版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文献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信息传播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知识产权事务费预算明细表。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档案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出版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文献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信息传播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 xml:space="preserve">知识产权事务费预算明细表  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                     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   单位：元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15"/>
        <w:gridCol w:w="696"/>
        <w:gridCol w:w="643"/>
        <w:gridCol w:w="664"/>
        <w:gridCol w:w="1522"/>
        <w:gridCol w:w="1169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发生（计划）日期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九、劳务费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应明确说明项目所需人员、人员类型、职责、数量、工作时长、薪资标准。财政供养人员不得列支劳务费。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ind w:firstLine="2289" w:firstLineChars="95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劳务费预算明细表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4"/>
        <w:tblW w:w="85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48"/>
        <w:gridCol w:w="911"/>
        <w:gridCol w:w="1500"/>
        <w:gridCol w:w="1446"/>
        <w:gridCol w:w="1557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</w:rPr>
              <w:t>其中：计划使用区科技经费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十、咨询费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承担单位可根据本单位的实际和工作需要，制定咨询费管理办法和开支标准。应说明咨询费的具体事项，次数、人员数量、职称、咨询费准等，填写咨询费预算明细表。</w:t>
      </w:r>
    </w:p>
    <w:p>
      <w:pPr>
        <w:spacing w:line="560" w:lineRule="exact"/>
        <w:ind w:left="840" w:leftChars="400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ind w:firstLine="2168" w:firstLineChars="90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咨询费预算明细表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9"/>
        <w:gridCol w:w="602"/>
        <w:gridCol w:w="602"/>
        <w:gridCol w:w="866"/>
        <w:gridCol w:w="664"/>
        <w:gridCol w:w="675"/>
        <w:gridCol w:w="654"/>
        <w:gridCol w:w="1521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</w:rPr>
              <w:t>其中：计划使用区科技经费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  <w:lang w:val="en"/>
              </w:rPr>
            </w:pPr>
            <w:r>
              <w:rPr>
                <w:rFonts w:ascii="宋体" w:hAnsi="宋体" w:eastAsia="宋体"/>
                <w:szCs w:val="21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十一、其他费用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其他费用可以根据项目单位实际情况提供详细的说明及测算。</w:t>
      </w:r>
    </w:p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十二、间接费用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08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table" w:styleId="5">
    <w:name w:val="Table Grid"/>
    <w:basedOn w:val="4"/>
    <w:uiPriority w:val="0"/>
    <w:pPr>
      <w:spacing w:after="0" w:line="240" w:lineRule="auto"/>
    </w:pPr>
    <w:rPr>
      <w:rFonts w:ascii="Times New Roman" w:hAnsi="Times New Roman" w:eastAsia="宋体" w:cs="Times New Roman"/>
      <w:kern w:val="0"/>
      <w:sz w:val="28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2025-09-16T02:06:18Z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