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AE053">
      <w:pPr>
        <w:pStyle w:val="14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667391BF">
      <w:pPr>
        <w:pStyle w:val="14"/>
        <w:ind w:firstLine="640"/>
        <w:rPr>
          <w:rFonts w:ascii="黑体" w:hAnsi="黑体" w:eastAsia="黑体"/>
        </w:rPr>
      </w:pPr>
    </w:p>
    <w:p w14:paraId="71130BDE"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北京市关于加快构建科技金融体制 有力支撑高水平科技自立自强的实施方案</w:t>
      </w:r>
    </w:p>
    <w:p w14:paraId="177A6836"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（2025-2027年）起草说明</w:t>
      </w:r>
    </w:p>
    <w:p w14:paraId="239D8D57">
      <w:pPr>
        <w:pStyle w:val="14"/>
        <w:ind w:firstLine="640"/>
        <w:rPr>
          <w:rFonts w:ascii="黑体" w:hAnsi="黑体" w:eastAsia="黑体"/>
        </w:rPr>
      </w:pPr>
    </w:p>
    <w:p w14:paraId="468AB9DC">
      <w:pPr>
        <w:spacing w:after="0" w:line="560" w:lineRule="exact"/>
        <w:ind w:left="640"/>
        <w:outlineLvl w:val="0"/>
        <w:rPr>
          <w:rFonts w:ascii="黑体" w:hAnsi="黑体" w:eastAsia="黑体" w:cs="黑体"/>
          <w:sz w:val="32"/>
          <w:szCs w:val="32"/>
        </w:rPr>
      </w:pPr>
      <w:bookmarkStart w:id="0" w:name="_Toc1100951026_WPSOffice_Level1"/>
      <w:bookmarkStart w:id="1" w:name="_Toc181802655"/>
      <w:r>
        <w:rPr>
          <w:rFonts w:hint="eastAsia" w:ascii="黑体" w:hAnsi="黑体" w:eastAsia="黑体" w:cs="黑体"/>
          <w:sz w:val="32"/>
          <w:szCs w:val="32"/>
        </w:rPr>
        <w:t>一、起草背景</w:t>
      </w:r>
      <w:bookmarkEnd w:id="0"/>
      <w:bookmarkEnd w:id="1"/>
    </w:p>
    <w:p w14:paraId="08C7279F"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为落实科技部、中国人民银行等七部委《加快构建科技金融体制 有力支撑高水平科技自立自强的若干政策举措》（以下简称《若干政策举措》）的要求，加快构建北京市科技金融体制机制，扎实推进北京国际科技创新中心建设，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北京市科委、中关村管委会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会同中国人民银行北京市分行以及市相关单位、金融监管部门研究起草了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北京市关于加快构建科技金融体制 有力支撑高水平科技自立自强的实施方案（2025-2027年）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》（征求意见稿，以下简称《实施方案》）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0987A21">
      <w:pPr>
        <w:spacing w:after="0" w:line="560" w:lineRule="exact"/>
        <w:ind w:left="64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2" w:name="_Toc181802656"/>
      <w:bookmarkStart w:id="3" w:name="_Toc23857395_WPSOffice_Level1"/>
      <w:r>
        <w:rPr>
          <w:rFonts w:hint="eastAsia" w:ascii="黑体" w:hAnsi="黑体" w:eastAsia="黑体" w:cs="黑体"/>
          <w:sz w:val="32"/>
          <w:szCs w:val="32"/>
          <w:lang w:eastAsia="zh-CN"/>
        </w:rPr>
        <w:t>二、制定原则</w:t>
      </w:r>
    </w:p>
    <w:p w14:paraId="0070477E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一是坚持精准施策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将国家政策“本土化”与本市实践经验“制度化”相结合，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</w:t>
      </w:r>
      <w:r>
        <w:rPr>
          <w:rFonts w:hint="eastAsia" w:ascii="仿宋_GB2312" w:hAnsi="仿宋_GB2312" w:eastAsia="仿宋_GB2312" w:cs="仿宋_GB2312"/>
          <w:sz w:val="32"/>
          <w:szCs w:val="32"/>
        </w:rPr>
        <w:t>破解科创企业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融资难点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问题。</w:t>
      </w:r>
    </w:p>
    <w:p w14:paraId="2D180C0B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二是强化增量牵引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聚焦创业投资、银行信贷、资本市场、科技保险、债券发行等领域，推动我市加大引入科技金融增量投入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A2B533"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三是构建闭环体系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建立“目标量化—实施推进—统计评估”全链条管理机制，设定量化指标，实现政策举措的闭环管理。</w:t>
      </w:r>
    </w:p>
    <w:p w14:paraId="7F27F73F">
      <w:pPr>
        <w:spacing w:after="0" w:line="560" w:lineRule="exact"/>
        <w:ind w:firstLine="640" w:firstLineChars="200"/>
        <w:rPr>
          <w:rFonts w:ascii="仿宋_GB2312" w:hAnsi="仿宋_GB2312" w:eastAsia="仿宋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依托中关村先行先试制度优势，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相匹配的金融生态创新范式。</w:t>
      </w:r>
      <w:bookmarkEnd w:id="2"/>
      <w:bookmarkEnd w:id="3"/>
      <w:bookmarkStart w:id="4" w:name="_Toc380267856_WPSOffice_Level1"/>
    </w:p>
    <w:p w14:paraId="77CDE1AC">
      <w:pPr>
        <w:spacing w:after="0" w:line="560" w:lineRule="exact"/>
        <w:ind w:left="64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5" w:name="_Toc181802657"/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  <w:bookmarkEnd w:id="4"/>
      <w:bookmarkEnd w:id="5"/>
      <w:r>
        <w:rPr>
          <w:rFonts w:hint="eastAsia" w:ascii="黑体" w:hAnsi="黑体" w:eastAsia="黑体" w:cs="黑体"/>
          <w:sz w:val="32"/>
          <w:szCs w:val="32"/>
          <w:lang w:eastAsia="zh-CN"/>
        </w:rPr>
        <w:t>举措</w:t>
      </w:r>
    </w:p>
    <w:p w14:paraId="0B469B60"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《实施方案》</w:t>
      </w:r>
      <w:r>
        <w:rPr>
          <w:rFonts w:hint="eastAsia" w:ascii="仿宋_GB2312" w:hAnsi="仿宋_GB2312" w:eastAsia="仿宋_GB2312" w:cs="Times New Roman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八</w:t>
      </w:r>
      <w:r>
        <w:rPr>
          <w:rFonts w:hint="eastAsia" w:ascii="仿宋_GB2312" w:hAnsi="仿宋_GB2312" w:eastAsia="仿宋_GB2312" w:cs="Times New Roman"/>
          <w:sz w:val="32"/>
          <w:szCs w:val="32"/>
        </w:rPr>
        <w:t>部分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条：</w:t>
      </w:r>
    </w:p>
    <w:p w14:paraId="629D9792">
      <w:pPr>
        <w:pStyle w:val="12"/>
        <w:spacing w:after="0" w:line="560" w:lineRule="exact"/>
        <w:ind w:firstLine="640" w:firstLineChars="200"/>
        <w:rPr>
          <w:rFonts w:ascii="仿宋_GB2312" w:hAnsi="仿宋_GB2312" w:eastAsia="仿宋_GB2312" w:cs="仿宋_GB2312"/>
          <w:b w:val="0"/>
          <w:bCs/>
          <w:sz w:val="32"/>
          <w:szCs w:val="32"/>
          <w:u w:val="single"/>
        </w:rPr>
      </w:pPr>
      <w:bookmarkStart w:id="6" w:name="_Toc181802660"/>
      <w:r>
        <w:rPr>
          <w:rStyle w:val="18"/>
          <w:rFonts w:hint="eastAsia" w:ascii="楷体_GB2312" w:hAnsi="楷体_GB2312" w:eastAsia="楷体_GB2312" w:cs="楷体_GB2312"/>
          <w:b w:val="0"/>
          <w:bCs/>
          <w:snapToGrid w:val="0"/>
          <w:kern w:val="0"/>
          <w:sz w:val="32"/>
          <w:szCs w:val="32"/>
        </w:rPr>
        <w:t>（一）总体目标。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到2027年底，科技创新领域引入长期资本、耐心资本等在京新设基金规模力争超万亿元；科技贷款</w:t>
      </w:r>
      <w:r>
        <w:rPr>
          <w:rStyle w:val="9"/>
          <w:rFonts w:hint="eastAsia" w:ascii="仿宋_GB2312" w:hAnsi="仿宋_GB2312" w:eastAsia="仿宋_GB2312" w:cs="仿宋_GB2312"/>
          <w:b w:val="0"/>
          <w:bCs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和科技型企业贷款</w:t>
      </w:r>
      <w:r>
        <w:rPr>
          <w:rStyle w:val="9"/>
          <w:rFonts w:hint="eastAsia" w:ascii="仿宋_GB2312" w:hAnsi="仿宋_GB2312" w:eastAsia="仿宋_GB2312" w:cs="仿宋_GB2312"/>
          <w:b w:val="0"/>
          <w:bCs/>
          <w:sz w:val="32"/>
          <w:szCs w:val="32"/>
        </w:rPr>
        <w:footnoteReference w:id="1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余额分别突破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/>
        </w:rPr>
        <w:t>5.5万亿元和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2.5万亿元，年均增速高于全国平均水平；推动科技创新债券、科技保险、科技型企业上市和不动产投资信托基金发行规模位居全国前列。</w:t>
      </w:r>
    </w:p>
    <w:p w14:paraId="63448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Style w:val="18"/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（二）发挥创业投资支持科技创新生力军作用（五条举措）。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包括：争取各类国家级基金在京落地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深化金融资产投资公司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AIC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股权投资试点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、支持长期资本在京扩大股权投资规模、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促进创业投资和股权投资高质量发展、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健全创业投资退出渠道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。提出：</w:t>
      </w:r>
      <w:r>
        <w:rPr>
          <w:rFonts w:hint="eastAsia" w:ascii="仿宋_GB2312" w:hAnsi="仿宋_GB2312" w:eastAsia="仿宋_GB2312" w:cs="仿宋_GB2312"/>
          <w:sz w:val="32"/>
          <w:szCs w:val="40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国家创业投资引导基金京津冀区域基金、国家中小企业发展基金二期等在京落地；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力争到2027年底AIC在京合作基金总规模不低于500亿元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等亮点举措。</w:t>
      </w:r>
    </w:p>
    <w:p w14:paraId="09A0B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Style w:val="18"/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（三）发挥货币信贷支持科技创新的重要作用（五条举措）。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用好用足结构性货币政策工具、优化科技型企业评价模型、推动银行丰富科技信贷创新产品、推动科技金融专营化专业化发展、深化中关村科创金融服务中心试点。提出：建立“中关村领航积分”评价模型；力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2027年底在中关村科创金融服务中心开展的各项业务贷款余额不低于1000亿元等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亮点</w:t>
      </w:r>
      <w:r>
        <w:rPr>
          <w:rFonts w:hint="eastAsia" w:ascii="仿宋_GB2312" w:hAnsi="仿宋_GB2312" w:eastAsia="仿宋_GB2312" w:cs="仿宋_GB2312"/>
          <w:sz w:val="32"/>
          <w:szCs w:val="32"/>
        </w:rPr>
        <w:t>举措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。</w:t>
      </w:r>
    </w:p>
    <w:p w14:paraId="4C006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18"/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（四）发挥资本市场支持科技创新的关键枢纽作用（三条举措）。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包括：加大力度支持优质科技型企业挂牌上市、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打造债券“中关村科技板”、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提高REITs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（不动产信托投资基金）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发行数量及规模。提出：支持新型基础设施、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中关村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特色产业园REITs储备、发行、扩募等亮点举措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。</w:t>
      </w:r>
    </w:p>
    <w:p w14:paraId="1F8B4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Style w:val="18"/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（五）发挥科技保险支持创新的减震器和稳定器作用（一条举措）。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包括：推动科技保险产品和服务创新。提出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：研究在智能驾驶、人形机器人、生物医药等领域组建重大科技攻关保险共同体等亮点举措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 w14:paraId="3D742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Style w:val="18"/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（六）加强财政政策对科技金融的引导和支持（一条举措）。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包括：发挥财政资金放大和引导作用。</w:t>
      </w:r>
      <w:r>
        <w:rPr>
          <w:rFonts w:hint="eastAsia" w:hAnsi="仿宋_GB2312" w:eastAsia="仿宋_GB2312" w:cs="仿宋_GB2312"/>
          <w:kern w:val="0"/>
          <w:sz w:val="32"/>
          <w:szCs w:val="32"/>
        </w:rPr>
        <w:t>提出：发挥政府投资基金</w:t>
      </w:r>
      <w:r>
        <w:rPr>
          <w:rFonts w:hint="eastAsia" w:hAnsi="仿宋_GB2312" w:eastAsia="仿宋_GB2312" w:cs="仿宋_GB2312"/>
          <w:kern w:val="0"/>
          <w:sz w:val="32"/>
          <w:szCs w:val="32"/>
          <w:lang w:eastAsia="zh-CN"/>
        </w:rPr>
        <w:t>逆周期调节</w:t>
      </w:r>
      <w:r>
        <w:rPr>
          <w:rFonts w:hint="eastAsia" w:hAnsi="仿宋_GB2312" w:eastAsia="仿宋_GB2312" w:cs="仿宋_GB2312"/>
          <w:kern w:val="0"/>
          <w:sz w:val="32"/>
          <w:szCs w:val="32"/>
        </w:rPr>
        <w:t>作用</w:t>
      </w:r>
      <w:r>
        <w:rPr>
          <w:rFonts w:hint="eastAsia" w:hAnsi="仿宋_GB2312" w:eastAsia="仿宋_GB2312" w:cs="仿宋_GB2312"/>
          <w:sz w:val="32"/>
          <w:szCs w:val="32"/>
        </w:rPr>
        <w:t>；</w:t>
      </w:r>
      <w:r>
        <w:rPr>
          <w:rFonts w:hint="eastAsia" w:hAnsi="仿宋_GB2312" w:eastAsia="仿宋_GB2312" w:cs="仿宋_GB2312"/>
          <w:kern w:val="0"/>
          <w:sz w:val="32"/>
          <w:szCs w:val="32"/>
        </w:rPr>
        <w:t>为科技型企业提供融资担保支持</w:t>
      </w:r>
      <w:r>
        <w:rPr>
          <w:rFonts w:hint="eastAsia" w:hAnsi="仿宋_GB2312" w:eastAsia="仿宋_GB2312" w:cs="仿宋_GB2312"/>
          <w:sz w:val="32"/>
          <w:szCs w:val="32"/>
        </w:rPr>
        <w:t>等落实举措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 w14:paraId="3A9A7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（七）打造科技金融开放创新生态</w:t>
      </w:r>
      <w:r>
        <w:rPr>
          <w:rStyle w:val="18"/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（两条举措）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hAnsi="仿宋_GB2312" w:eastAsia="仿宋_GB2312" w:cs="仿宋_GB2312"/>
          <w:kern w:val="0"/>
          <w:sz w:val="32"/>
          <w:szCs w:val="32"/>
          <w:lang w:eastAsia="zh-CN"/>
        </w:rPr>
        <w:t>包括</w:t>
      </w:r>
      <w:r>
        <w:rPr>
          <w:rFonts w:hint="eastAsia" w:hAnsi="仿宋_GB2312" w:eastAsia="仿宋_GB2312" w:cs="仿宋_GB2312"/>
          <w:kern w:val="0"/>
          <w:sz w:val="32"/>
          <w:szCs w:val="32"/>
        </w:rPr>
        <w:t>：提升跨境资金使用便利性、</w:t>
      </w:r>
      <w:r>
        <w:rPr>
          <w:rFonts w:hint="eastAsia" w:hAnsi="仿宋_GB2312" w:eastAsia="仿宋_GB2312" w:cs="仿宋_GB2312"/>
          <w:sz w:val="32"/>
          <w:szCs w:val="32"/>
        </w:rPr>
        <w:t>推动科技金融开放合作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。提出：用好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科汇通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政策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为符合条件的非企业科研机构提供资金入境及使用便捷通道</w:t>
      </w:r>
      <w:r>
        <w:rPr>
          <w:rFonts w:hint="eastAsia" w:hAnsi="仿宋_GB2312" w:eastAsia="仿宋_GB2312" w:cs="仿宋_GB2312"/>
          <w:sz w:val="32"/>
          <w:szCs w:val="32"/>
        </w:rPr>
        <w:t>等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亮点</w:t>
      </w:r>
      <w:r>
        <w:rPr>
          <w:rFonts w:hint="eastAsia" w:hAnsi="仿宋_GB2312" w:eastAsia="仿宋_GB2312" w:cs="仿宋_GB2312"/>
          <w:sz w:val="32"/>
          <w:szCs w:val="32"/>
        </w:rPr>
        <w:t>举措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。</w:t>
      </w:r>
    </w:p>
    <w:p w14:paraId="2AE19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）加强组织实施</w:t>
      </w:r>
      <w:r>
        <w:rPr>
          <w:rStyle w:val="18"/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（三条举措）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hAnsi="仿宋_GB2312" w:eastAsia="仿宋_GB2312" w:cs="仿宋_GB2312"/>
          <w:kern w:val="0"/>
          <w:sz w:val="32"/>
          <w:szCs w:val="32"/>
          <w:lang w:eastAsia="zh-CN"/>
        </w:rPr>
        <w:t>包括：加强科技金融工作统筹、持续做好企业融资对接、完善科技金融监测统计机制。提出</w:t>
      </w:r>
      <w:r>
        <w:rPr>
          <w:rFonts w:hint="eastAsia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hAnsi="仿宋_GB2312" w:eastAsia="仿宋_GB2312" w:cs="仿宋_GB2312"/>
          <w:sz w:val="32"/>
          <w:szCs w:val="32"/>
        </w:rPr>
        <w:t>建立北京市科技金融综合评估机制；探索编制北京市科技金融发展指数等亮点举措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6"/>
    </w:p>
    <w:p w14:paraId="22A02E1E">
      <w:pPr>
        <w:pStyle w:val="14"/>
        <w:ind w:firstLine="640"/>
        <w:rPr>
          <w:rFonts w:ascii="黑体" w:hAnsi="黑体" w:eastAsia="黑体"/>
        </w:rPr>
      </w:pPr>
    </w:p>
    <w:p w14:paraId="6D713A25">
      <w:pPr>
        <w:pStyle w:val="14"/>
        <w:ind w:firstLine="640"/>
      </w:pPr>
    </w:p>
    <w:p w14:paraId="5D3A5BE3"/>
    <w:p w14:paraId="2ADDDE59"/>
    <w:p w14:paraId="48834C72"/>
    <w:p w14:paraId="767C0B92">
      <w:bookmarkStart w:id="7" w:name="_GoBack"/>
      <w:bookmarkEnd w:id="7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7DEB774">
      <w:pPr>
        <w:pStyle w:val="1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Style w:val="9"/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科技贷款包括科技型企业贷款和科技相关产业贷款，汇总后去重。其中，科技相关产业贷款包括高技术制造业贷款、高技术服务业贷款、战略性新兴产业贷款、知识产权（专利）密集型产业贷款。截至2025年1季度北京科技贷款余额为</w:t>
      </w:r>
      <w:r>
        <w:rPr>
          <w:rFonts w:hint="eastAsia" w:ascii="仿宋_GB2312" w:hAnsi="仿宋_GB2312" w:eastAsia="仿宋_GB2312" w:cs="仿宋_GB2312"/>
          <w:sz w:val="21"/>
          <w:szCs w:val="21"/>
          <w:lang w:val="en"/>
        </w:rPr>
        <w:t>4.</w:t>
      </w:r>
      <w:r>
        <w:rPr>
          <w:rFonts w:hint="eastAsia" w:ascii="仿宋_GB2312" w:hAnsi="仿宋_GB2312" w:eastAsia="仿宋_GB2312" w:cs="仿宋_GB2312"/>
          <w:sz w:val="21"/>
          <w:szCs w:val="21"/>
        </w:rPr>
        <w:t>2万亿元。</w:t>
      </w:r>
    </w:p>
  </w:footnote>
  <w:footnote w:id="1">
    <w:p w14:paraId="6623F388">
      <w:pPr>
        <w:pStyle w:val="1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Style w:val="9"/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科技型企业贷款包括高新技术企业贷款、科技型中小企业贷款、专精特新中小企业贷款、专精特新小巨人企业贷款、国家技术创新示范企业贷款、制造业单项冠军企业贷款。截至2025年1季度北京科技型企业贷款余额为1.9万亿元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C8"/>
    <w:rsid w:val="00053759"/>
    <w:rsid w:val="000B1A11"/>
    <w:rsid w:val="000C499B"/>
    <w:rsid w:val="000E4FC8"/>
    <w:rsid w:val="00156649"/>
    <w:rsid w:val="001F6279"/>
    <w:rsid w:val="00241C9A"/>
    <w:rsid w:val="00262351"/>
    <w:rsid w:val="0053561A"/>
    <w:rsid w:val="00547A59"/>
    <w:rsid w:val="007142CF"/>
    <w:rsid w:val="007A5437"/>
    <w:rsid w:val="007C2ADA"/>
    <w:rsid w:val="00804365"/>
    <w:rsid w:val="00AF7C4B"/>
    <w:rsid w:val="00BD1BF9"/>
    <w:rsid w:val="00BE5567"/>
    <w:rsid w:val="00C77E78"/>
    <w:rsid w:val="00D948C8"/>
    <w:rsid w:val="00E7168B"/>
    <w:rsid w:val="00EB1F7C"/>
    <w:rsid w:val="00EE4992"/>
    <w:rsid w:val="3E5DC11E"/>
    <w:rsid w:val="3EDE8AD8"/>
    <w:rsid w:val="461B5BB8"/>
    <w:rsid w:val="51B07E2B"/>
    <w:rsid w:val="5B672B67"/>
    <w:rsid w:val="5F38241B"/>
    <w:rsid w:val="5F7E0F68"/>
    <w:rsid w:val="643935AF"/>
    <w:rsid w:val="6EF782ED"/>
    <w:rsid w:val="78FF954F"/>
    <w:rsid w:val="87ECBBDA"/>
    <w:rsid w:val="87FE7A33"/>
    <w:rsid w:val="BCFBFD8D"/>
    <w:rsid w:val="BEFBE829"/>
    <w:rsid w:val="CFEBE5D5"/>
    <w:rsid w:val="FD9F9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semiHidden/>
    <w:unhideWhenUsed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footnote reference"/>
    <w:qFormat/>
    <w:uiPriority w:val="99"/>
    <w:rPr>
      <w:vertAlign w:val="superscript"/>
    </w:rPr>
  </w:style>
  <w:style w:type="paragraph" w:styleId="10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1">
    <w:name w:val="index 1"/>
    <w:basedOn w:val="1"/>
    <w:next w:val="1"/>
    <w:unhideWhenUsed/>
    <w:qFormat/>
    <w:uiPriority w:val="0"/>
  </w:style>
  <w:style w:type="paragraph" w:styleId="12">
    <w:name w:val="index heading"/>
    <w:basedOn w:val="1"/>
    <w:next w:val="11"/>
    <w:qFormat/>
    <w:uiPriority w:val="99"/>
    <w:rPr>
      <w:rFonts w:ascii="Arial" w:hAnsi="Arial"/>
      <w:b/>
    </w:rPr>
  </w:style>
  <w:style w:type="character" w:styleId="13">
    <w:name w:val="page number"/>
    <w:qFormat/>
    <w:uiPriority w:val="0"/>
  </w:style>
  <w:style w:type="paragraph" w:styleId="14">
    <w:name w:val="No Spacing"/>
    <w:qFormat/>
    <w:uiPriority w:val="1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5">
    <w:name w:val="日期 字符"/>
    <w:basedOn w:val="3"/>
    <w:link w:val="7"/>
    <w:semiHidden/>
    <w:qFormat/>
    <w:uiPriority w:val="99"/>
    <w:rPr>
      <w:rFonts w:eastAsia="宋体"/>
      <w:sz w:val="21"/>
    </w:rPr>
  </w:style>
  <w:style w:type="paragraph" w:customStyle="1" w:styleId="16">
    <w:name w:val="列表段落1"/>
    <w:basedOn w:val="1"/>
    <w:qFormat/>
    <w:uiPriority w:val="34"/>
    <w:pPr>
      <w:ind w:firstLine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677</Words>
  <Characters>3859</Characters>
  <Lines>32</Lines>
  <Paragraphs>9</Paragraphs>
  <TotalTime>13</TotalTime>
  <ScaleCrop>false</ScaleCrop>
  <LinksUpToDate>false</LinksUpToDate>
  <CharactersWithSpaces>4527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2022-01-21T14:28:00Z</dcterms:created>
  <dc:creator>- Yvette</dc:creator>
  <cp:lastModifiedBy>pro</cp:lastModifiedBy>
  <dcterms:modified xsi:type="dcterms:W3CDTF">2025-09-12T06:09:21Z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182A0472E0AE4A449F551D22D23D0511_13</vt:lpwstr>
  </property>
</Properties>
</file>