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u w:val="none"/>
          <w:lang w:val="en-US" w:eastAsia="zh-CN"/>
        </w:rPr>
      </w:pPr>
      <w:bookmarkStart w:id="27" w:name="_GoBack"/>
      <w:bookmarkEnd w:id="2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bookmarkStart w:id="0" w:name="OLE_LINK1"/>
      <w:r>
        <w:rPr>
          <w:rFonts w:hint="eastAsia" w:ascii="方正小标宋简体" w:hAnsi="方正小标宋简体" w:eastAsia="方正小标宋简体" w:cs="方正小标宋简体"/>
          <w:color w:val="auto"/>
          <w:sz w:val="44"/>
          <w:szCs w:val="44"/>
          <w:highlight w:val="none"/>
          <w:u w:val="none"/>
          <w:lang w:eastAsia="zh-CN"/>
        </w:rPr>
        <w:t>昌平区促进高端医疗器械产业集群发展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z w:val="44"/>
          <w:szCs w:val="44"/>
          <w:highlight w:val="none"/>
          <w:u w:val="none"/>
          <w:lang w:eastAsia="zh-CN"/>
        </w:rPr>
        <w:t>的若干措施</w:t>
      </w:r>
    </w:p>
    <w:p>
      <w:pPr>
        <w:pStyle w:val="2"/>
        <w:jc w:val="center"/>
        <w:rPr>
          <w:rFonts w:hint="eastAsia" w:ascii="仿宋_GB2312" w:hAnsi="仿宋_GB2312" w:eastAsia="仿宋_GB2312" w:cstheme="minorBidi"/>
          <w:color w:val="auto"/>
          <w:kern w:val="2"/>
          <w:sz w:val="32"/>
          <w:szCs w:val="22"/>
          <w:highlight w:val="none"/>
          <w:u w:val="none"/>
          <w:lang w:val="en-US" w:eastAsia="zh-CN" w:bidi="ar-SA"/>
        </w:rPr>
      </w:pPr>
      <w:r>
        <w:rPr>
          <w:rFonts w:hint="eastAsia" w:ascii="仿宋_GB2312" w:hAnsi="仿宋_GB2312" w:eastAsia="仿宋_GB2312" w:cstheme="minorBidi"/>
          <w:color w:val="auto"/>
          <w:kern w:val="2"/>
          <w:sz w:val="32"/>
          <w:szCs w:val="22"/>
          <w:highlight w:val="none"/>
          <w:u w:val="none"/>
          <w:lang w:val="en-US" w:eastAsia="zh-CN" w:bidi="ar-SA"/>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为贯彻落实</w:t>
      </w:r>
      <w:r>
        <w:rPr>
          <w:rFonts w:hint="eastAsia" w:ascii="仿宋_GB2312" w:hAnsi="仿宋_GB2312" w:eastAsia="仿宋_GB2312"/>
          <w:color w:val="auto"/>
          <w:sz w:val="32"/>
          <w:szCs w:val="22"/>
          <w:highlight w:val="none"/>
          <w:u w:val="none"/>
        </w:rPr>
        <w:t>《“十四五”生物经济发展规划》《“十四五”医药工业发展规划》和《北京市国民经济和社会发展第十四个五年规划和2035年远景目标纲要》，以及有关促进医药健康产业发展的部署要求</w:t>
      </w:r>
      <w:r>
        <w:rPr>
          <w:rFonts w:hint="eastAsia" w:ascii="仿宋_GB2312" w:hAnsi="仿宋_GB2312" w:eastAsia="仿宋_GB2312" w:cs="仿宋_GB2312"/>
          <w:color w:val="auto"/>
          <w:sz w:val="32"/>
          <w:szCs w:val="32"/>
          <w:highlight w:val="none"/>
          <w:u w:val="none"/>
          <w:lang w:eastAsia="zh-CN"/>
        </w:rPr>
        <w:t>，紧抓高端医疗器械创新发展机遇，充分发挥产业政策的引导激励作用，加快培育一批创新型、领先型企业，推动高端医疗器械产业集群创新发展，特制定本措施。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第一章</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第一条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eastAsia="zh-CN"/>
        </w:rPr>
        <w:t>措施</w:t>
      </w:r>
      <w:r>
        <w:rPr>
          <w:rFonts w:hint="eastAsia" w:ascii="仿宋_GB2312" w:hAnsi="仿宋_GB2312" w:eastAsia="仿宋_GB2312" w:cs="仿宋_GB2312"/>
          <w:color w:val="auto"/>
          <w:sz w:val="32"/>
          <w:szCs w:val="32"/>
          <w:highlight w:val="none"/>
          <w:u w:val="none"/>
        </w:rPr>
        <w:t>适用于</w:t>
      </w:r>
      <w:r>
        <w:rPr>
          <w:rFonts w:hint="eastAsia" w:ascii="仿宋_GB2312" w:hAnsi="仿宋_GB2312" w:eastAsia="仿宋_GB2312" w:cs="仿宋_GB2312"/>
          <w:color w:val="auto"/>
          <w:sz w:val="32"/>
          <w:szCs w:val="32"/>
          <w:highlight w:val="none"/>
          <w:u w:val="none"/>
          <w:lang w:eastAsia="zh-CN"/>
        </w:rPr>
        <w:t>医疗器械</w:t>
      </w:r>
      <w:r>
        <w:rPr>
          <w:rFonts w:hint="eastAsia" w:ascii="仿宋_GB2312" w:hAnsi="仿宋_GB2312" w:eastAsia="仿宋_GB2312" w:cs="仿宋_GB2312"/>
          <w:color w:val="auto"/>
          <w:sz w:val="32"/>
          <w:szCs w:val="32"/>
          <w:highlight w:val="none"/>
          <w:u w:val="none"/>
        </w:rPr>
        <w:t>领域企业、事业单位、社会团体、民办非企业单位等各类主体。立足产业发展趋势和特色优势，面向人民生命健康，坚持以临床需求为导向，提升自主创新能力</w:t>
      </w:r>
      <w:r>
        <w:rPr>
          <w:rFonts w:hint="eastAsia" w:ascii="仿宋_GB2312" w:hAnsi="仿宋_GB2312" w:eastAsia="仿宋_GB2312" w:cs="仿宋_GB2312"/>
          <w:color w:val="auto"/>
          <w:sz w:val="32"/>
          <w:szCs w:val="32"/>
          <w:highlight w:val="none"/>
          <w:u w:val="none"/>
          <w:lang w:eastAsia="zh-CN"/>
        </w:rPr>
        <w:t>。围绕高端医疗设备、高值医用耗材、高效体外诊断、人工智能医疗器械等重点领域，以及</w:t>
      </w:r>
      <w:r>
        <w:rPr>
          <w:rFonts w:hint="eastAsia" w:ascii="仿宋_GB2312" w:hAnsi="仿宋_GB2312" w:eastAsia="仿宋_GB2312" w:cs="仿宋_GB2312"/>
          <w:color w:val="auto"/>
          <w:sz w:val="32"/>
          <w:szCs w:val="32"/>
          <w:highlight w:val="none"/>
          <w:u w:val="none"/>
          <w:lang w:val="en-US" w:eastAsia="zh-CN"/>
        </w:rPr>
        <w:t>支撑产业发展的</w:t>
      </w:r>
      <w:r>
        <w:rPr>
          <w:rFonts w:hint="eastAsia" w:ascii="仿宋_GB2312" w:hAnsi="仿宋_GB2312" w:eastAsia="仿宋_GB2312" w:cs="仿宋_GB2312"/>
          <w:color w:val="auto"/>
          <w:sz w:val="32"/>
          <w:szCs w:val="32"/>
          <w:highlight w:val="none"/>
          <w:u w:val="none"/>
          <w:lang w:eastAsia="zh-CN"/>
        </w:rPr>
        <w:t>关键共性平台，</w:t>
      </w:r>
      <w:r>
        <w:rPr>
          <w:rFonts w:hint="eastAsia" w:ascii="仿宋_GB2312" w:hAnsi="仿宋_GB2312" w:eastAsia="仿宋_GB2312" w:cs="仿宋_GB2312"/>
          <w:color w:val="auto"/>
          <w:sz w:val="32"/>
          <w:szCs w:val="32"/>
          <w:highlight w:val="none"/>
          <w:u w:val="none"/>
        </w:rPr>
        <w:t>培育具有支撑引领作用的“链主”企业、头部企业，加快汇聚创新性强、成长性高的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专精特新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“小巨人”</w:t>
      </w:r>
      <w:r>
        <w:rPr>
          <w:rFonts w:hint="eastAsia" w:ascii="仿宋_GB2312" w:hAnsi="仿宋_GB2312" w:eastAsia="仿宋_GB2312" w:cs="仿宋_GB2312"/>
          <w:color w:val="auto"/>
          <w:sz w:val="32"/>
          <w:szCs w:val="32"/>
          <w:highlight w:val="none"/>
          <w:u w:val="none"/>
          <w:lang w:eastAsia="zh-CN"/>
        </w:rPr>
        <w:t>等高新技术</w:t>
      </w:r>
      <w:r>
        <w:rPr>
          <w:rFonts w:hint="eastAsia" w:ascii="仿宋_GB2312" w:hAnsi="仿宋_GB2312" w:eastAsia="仿宋_GB2312" w:cs="仿宋_GB2312"/>
          <w:color w:val="auto"/>
          <w:sz w:val="32"/>
          <w:szCs w:val="32"/>
          <w:highlight w:val="none"/>
          <w:u w:val="none"/>
        </w:rPr>
        <w:t>企业，不断提升</w:t>
      </w:r>
      <w:r>
        <w:rPr>
          <w:rFonts w:hint="eastAsia" w:ascii="仿宋_GB2312" w:hAnsi="仿宋_GB2312" w:eastAsia="仿宋_GB2312" w:cs="仿宋_GB2312"/>
          <w:color w:val="auto"/>
          <w:sz w:val="32"/>
          <w:szCs w:val="32"/>
          <w:highlight w:val="none"/>
          <w:u w:val="none"/>
          <w:lang w:eastAsia="zh-CN"/>
        </w:rPr>
        <w:t>医疗器械产业集群</w:t>
      </w:r>
      <w:r>
        <w:rPr>
          <w:rFonts w:hint="eastAsia" w:ascii="仿宋_GB2312" w:hAnsi="仿宋_GB2312" w:eastAsia="仿宋_GB2312" w:cs="仿宋_GB2312"/>
          <w:color w:val="auto"/>
          <w:sz w:val="32"/>
          <w:szCs w:val="32"/>
          <w:highlight w:val="none"/>
          <w:u w:val="none"/>
        </w:rPr>
        <w:t>的综合实力和核心竞争力。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 w:name="OLE_LINK8"/>
      <w:r>
        <w:rPr>
          <w:rFonts w:hint="eastAsia" w:ascii="仿宋_GB2312" w:hAnsi="仿宋_GB2312" w:eastAsia="仿宋_GB2312" w:cs="仿宋_GB2312"/>
          <w:color w:val="auto"/>
          <w:sz w:val="32"/>
          <w:szCs w:val="32"/>
          <w:highlight w:val="none"/>
          <w:u w:val="none"/>
          <w:lang w:val="en-US" w:eastAsia="zh-CN"/>
        </w:rPr>
        <w:t>主要支持以下方向：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（一）重点产业领域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1.高端医疗设备。高端医学影像装备、新型监护装备、高效能治疗装备、中医装备、医疗美容设备等。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2.高值医用耗材。有源植介入器械、无源植介入器械、生物材料等。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3.高效体外诊断。分子诊断、免疫诊断等领域的新型和超敏诊断试剂产品，新一代测序、多重PCR、数字PCR等新型分子检测技术以及即时检验（POCT）等。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人工智能医疗器械</w:t>
      </w:r>
      <w:r>
        <w:rPr>
          <w:rFonts w:hint="eastAsia" w:ascii="仿宋_GB2312" w:hAnsi="仿宋_GB2312" w:eastAsia="仿宋_GB2312" w:cs="仿宋_GB2312"/>
          <w:color w:val="auto"/>
          <w:sz w:val="32"/>
          <w:szCs w:val="32"/>
          <w:highlight w:val="none"/>
          <w:u w:val="none"/>
          <w:lang w:eastAsia="zh-CN"/>
        </w:rPr>
        <w:t>。人工智能和大模型赋能的智能化医疗器械、</w:t>
      </w:r>
      <w:r>
        <w:rPr>
          <w:rFonts w:hint="eastAsia" w:ascii="仿宋_GB2312" w:hAnsi="仿宋_GB2312" w:eastAsia="仿宋_GB2312" w:cs="仿宋_GB2312"/>
          <w:color w:val="auto"/>
          <w:sz w:val="32"/>
          <w:szCs w:val="32"/>
          <w:highlight w:val="none"/>
          <w:u w:val="none"/>
        </w:rPr>
        <w:t>智能辅助决策系统</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智能医疗机器人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康养机器人</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（二）关键共性平台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1.共性技术平台。CRO、CDMO、医工交叉技术平台、组织冻存等。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2.产业生态平台。专业孵化器、特色园区、产业基金和创投基金、联盟协会、高水平学术会议、医师培训中心等。</w:t>
      </w:r>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第二章</w:t>
      </w:r>
      <w:r>
        <w:rPr>
          <w:rFonts w:hint="eastAsia" w:ascii="黑体" w:hAnsi="黑体" w:eastAsia="黑体" w:cs="黑体"/>
          <w:color w:val="auto"/>
          <w:sz w:val="32"/>
          <w:szCs w:val="32"/>
          <w:highlight w:val="none"/>
          <w:u w:val="none"/>
          <w:lang w:val="en-US" w:eastAsia="zh-CN"/>
        </w:rPr>
        <w:t xml:space="preserve">  支持研发创新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第二条</w:t>
      </w:r>
      <w:r>
        <w:rPr>
          <w:rFonts w:hint="eastAsia" w:ascii="黑体" w:hAnsi="黑体" w:eastAsia="黑体" w:cs="黑体"/>
          <w:color w:val="auto"/>
          <w:sz w:val="32"/>
          <w:szCs w:val="32"/>
          <w:highlight w:val="none"/>
          <w:u w:val="none"/>
          <w:lang w:val="en-US" w:eastAsia="zh-CN"/>
        </w:rPr>
        <w:t xml:space="preserve">  </w:t>
      </w:r>
      <w:bookmarkStart w:id="2" w:name="OLE_LINK16"/>
      <w:bookmarkStart w:id="3" w:name="OLE_LINK4"/>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原始</w:t>
      </w:r>
      <w:r>
        <w:rPr>
          <w:rFonts w:hint="eastAsia" w:ascii="仿宋_GB2312" w:hAnsi="仿宋_GB2312" w:eastAsia="仿宋_GB2312" w:cs="仿宋_GB2312"/>
          <w:color w:val="auto"/>
          <w:sz w:val="32"/>
          <w:szCs w:val="32"/>
          <w:highlight w:val="none"/>
          <w:u w:val="none"/>
          <w:lang w:eastAsia="zh-CN"/>
        </w:rPr>
        <w:t>创新</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（一）</w:t>
      </w:r>
      <w:bookmarkStart w:id="4" w:name="OLE_LINK15"/>
      <w:r>
        <w:rPr>
          <w:rFonts w:hint="eastAsia" w:ascii="仿宋_GB2312" w:hAnsi="仿宋_GB2312" w:eastAsia="仿宋_GB2312" w:cs="仿宋_GB2312"/>
          <w:color w:val="auto"/>
          <w:sz w:val="32"/>
          <w:szCs w:val="32"/>
          <w:highlight w:val="none"/>
          <w:u w:val="none"/>
          <w:lang w:eastAsia="zh-CN"/>
        </w:rPr>
        <w:t>支持顶尖院校、科研机构、研究型医院，以及顶尖人才、团队，设立技术转移机构、组建创新联合体等，聚焦医疗器械核心技术和关键零部件，开展技术攻关，通过技术转让等方式推动成果转化落地，最高给予</w:t>
      </w:r>
      <w:r>
        <w:rPr>
          <w:rFonts w:hint="eastAsia" w:ascii="仿宋_GB2312" w:hAnsi="仿宋_GB2312" w:eastAsia="仿宋_GB2312" w:cs="仿宋_GB2312"/>
          <w:color w:val="auto"/>
          <w:sz w:val="32"/>
          <w:szCs w:val="32"/>
          <w:highlight w:val="none"/>
          <w:u w:val="none"/>
          <w:lang w:val="en-US" w:eastAsia="zh-CN"/>
        </w:rPr>
        <w:t>3000万元支持。</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（二）支持企业、科研机构参与国家级、市级专项，获得“揭榜挂帅”等定向支持的科学家和创新团队，最高给予300万元支持。</w:t>
      </w:r>
      <w:bookmarkEnd w:id="3"/>
    </w:p>
    <w:p>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1"/>
        <w:rPr>
          <w:rFonts w:hint="eastAsia" w:ascii="仿宋_GB2312" w:hAnsi="仿宋_GB2312" w:eastAsia="仿宋_GB2312"/>
          <w:color w:val="auto"/>
          <w:sz w:val="32"/>
          <w:szCs w:val="22"/>
          <w:highlight w:val="none"/>
          <w:u w:val="none"/>
        </w:rPr>
      </w:pPr>
      <w:r>
        <w:rPr>
          <w:rFonts w:hint="eastAsia" w:ascii="仿宋_GB2312" w:hAnsi="仿宋_GB2312" w:eastAsia="仿宋_GB2312"/>
          <w:color w:val="auto"/>
          <w:sz w:val="32"/>
          <w:szCs w:val="22"/>
          <w:highlight w:val="none"/>
          <w:u w:val="none"/>
          <w:lang w:eastAsia="zh-CN"/>
        </w:rPr>
        <w:t>（三）</w:t>
      </w:r>
      <w:r>
        <w:rPr>
          <w:rFonts w:hint="eastAsia" w:ascii="仿宋_GB2312" w:hAnsi="仿宋_GB2312" w:eastAsia="仿宋_GB2312"/>
          <w:color w:val="auto"/>
          <w:sz w:val="32"/>
          <w:szCs w:val="22"/>
          <w:highlight w:val="none"/>
          <w:u w:val="none"/>
        </w:rPr>
        <w:t>支持</w:t>
      </w:r>
      <w:r>
        <w:rPr>
          <w:rFonts w:hint="eastAsia" w:ascii="仿宋_GB2312" w:hAnsi="黑体" w:eastAsia="仿宋_GB2312"/>
          <w:bCs/>
          <w:color w:val="auto"/>
          <w:kern w:val="44"/>
          <w:sz w:val="32"/>
          <w:szCs w:val="44"/>
          <w:highlight w:val="none"/>
          <w:u w:val="none"/>
        </w:rPr>
        <w:t>前沿领域突破</w:t>
      </w:r>
      <w:r>
        <w:rPr>
          <w:rFonts w:hint="eastAsia" w:ascii="仿宋_GB2312" w:hAnsi="黑体" w:eastAsia="仿宋_GB2312"/>
          <w:bCs/>
          <w:color w:val="auto"/>
          <w:kern w:val="44"/>
          <w:sz w:val="32"/>
          <w:szCs w:val="44"/>
          <w:highlight w:val="none"/>
          <w:u w:val="none"/>
          <w:lang w:eastAsia="zh-CN"/>
        </w:rPr>
        <w:t>，</w:t>
      </w:r>
      <w:r>
        <w:rPr>
          <w:rFonts w:hint="eastAsia" w:ascii="仿宋_GB2312" w:hAnsi="仿宋_GB2312" w:eastAsia="仿宋_GB2312"/>
          <w:color w:val="auto"/>
          <w:sz w:val="32"/>
          <w:szCs w:val="22"/>
          <w:highlight w:val="none"/>
          <w:u w:val="none"/>
        </w:rPr>
        <w:t>发挥高水平医疗机构合作资源丰富的优势，围绕医疗器械</w:t>
      </w:r>
      <w:r>
        <w:rPr>
          <w:rFonts w:hint="eastAsia" w:ascii="仿宋_GB2312" w:hAnsi="仿宋_GB2312" w:eastAsia="仿宋_GB2312"/>
          <w:color w:val="auto"/>
          <w:sz w:val="32"/>
          <w:szCs w:val="22"/>
          <w:highlight w:val="none"/>
          <w:u w:val="none"/>
          <w:lang w:eastAsia="zh-CN"/>
        </w:rPr>
        <w:t>前沿领域</w:t>
      </w:r>
      <w:r>
        <w:rPr>
          <w:rFonts w:hint="eastAsia" w:ascii="仿宋_GB2312" w:hAnsi="仿宋_GB2312" w:eastAsia="仿宋_GB2312"/>
          <w:color w:val="auto"/>
          <w:sz w:val="32"/>
          <w:szCs w:val="22"/>
          <w:highlight w:val="none"/>
          <w:u w:val="none"/>
        </w:rPr>
        <w:t>，建立面向临床实际需求的早期项目概念验证体系，支持医疗机构与产业协同创新，开展临床科技成果转化早期项目的概念验证活动，加速产业化进程。每年安排</w:t>
      </w:r>
      <w:r>
        <w:rPr>
          <w:rFonts w:hint="eastAsia" w:ascii="仿宋_GB2312" w:hAnsi="仿宋_GB2312" w:eastAsia="仿宋_GB2312"/>
          <w:color w:val="auto"/>
          <w:sz w:val="32"/>
          <w:szCs w:val="22"/>
          <w:highlight w:val="none"/>
          <w:u w:val="none"/>
          <w:lang w:val="en-US" w:eastAsia="zh-CN"/>
        </w:rPr>
        <w:t>不超过</w:t>
      </w:r>
      <w:r>
        <w:rPr>
          <w:rFonts w:hint="eastAsia" w:ascii="仿宋_GB2312" w:hAnsi="仿宋_GB2312" w:eastAsia="仿宋_GB2312"/>
          <w:color w:val="auto"/>
          <w:sz w:val="32"/>
          <w:szCs w:val="22"/>
          <w:highlight w:val="none"/>
          <w:u w:val="none"/>
        </w:rPr>
        <w:t>2000</w:t>
      </w:r>
      <w:r>
        <w:rPr>
          <w:rFonts w:hint="eastAsia" w:ascii="仿宋_GB2312" w:hAnsi="仿宋_GB2312" w:eastAsia="仿宋_GB2312"/>
          <w:color w:val="auto"/>
          <w:sz w:val="32"/>
          <w:szCs w:val="22"/>
          <w:highlight w:val="none"/>
          <w:u w:val="none"/>
          <w:lang w:val="en-US" w:eastAsia="zh-CN"/>
        </w:rPr>
        <w:t>万元</w:t>
      </w:r>
      <w:r>
        <w:rPr>
          <w:rFonts w:hint="eastAsia" w:ascii="仿宋_GB2312" w:hAnsi="仿宋_GB2312" w:eastAsia="仿宋_GB2312"/>
          <w:color w:val="auto"/>
          <w:sz w:val="32"/>
          <w:szCs w:val="22"/>
          <w:highlight w:val="none"/>
          <w:u w:val="none"/>
        </w:rPr>
        <w:t>概念验证资金，</w:t>
      </w:r>
      <w:bookmarkStart w:id="5" w:name="OLE_LINK25"/>
      <w:r>
        <w:rPr>
          <w:rFonts w:hint="eastAsia" w:ascii="仿宋_GB2312" w:hAnsi="仿宋_GB2312" w:eastAsia="仿宋_GB2312"/>
          <w:color w:val="auto"/>
          <w:sz w:val="32"/>
          <w:szCs w:val="22"/>
          <w:highlight w:val="none"/>
          <w:u w:val="none"/>
        </w:rPr>
        <w:t>对临床科技成果转化项目给予概念验证资金支持</w:t>
      </w:r>
      <w:bookmarkEnd w:id="5"/>
      <w:r>
        <w:rPr>
          <w:rFonts w:hint="eastAsia" w:ascii="仿宋_GB2312" w:hAnsi="仿宋_GB2312" w:eastAsia="仿宋_GB2312"/>
          <w:color w:val="auto"/>
          <w:sz w:val="32"/>
          <w:szCs w:val="22"/>
          <w:highlight w:val="none"/>
          <w:u w:val="none"/>
        </w:rPr>
        <w:t>。</w:t>
      </w:r>
      <w:bookmarkStart w:id="6" w:name="_Hlk1275569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olor w:val="auto"/>
          <w:sz w:val="32"/>
          <w:szCs w:val="22"/>
          <w:highlight w:val="none"/>
          <w:u w:val="none"/>
          <w:lang w:eastAsia="zh-CN"/>
        </w:rPr>
        <w:t>（四）</w:t>
      </w:r>
      <w:r>
        <w:rPr>
          <w:rFonts w:ascii="仿宋_GB2312" w:hAnsi="仿宋_GB2312" w:eastAsia="仿宋_GB2312"/>
          <w:color w:val="auto"/>
          <w:sz w:val="32"/>
          <w:szCs w:val="22"/>
          <w:highlight w:val="none"/>
          <w:u w:val="none"/>
        </w:rPr>
        <w:t>支持人工智能</w:t>
      </w:r>
      <w:r>
        <w:rPr>
          <w:rFonts w:hint="eastAsia" w:ascii="仿宋_GB2312" w:hAnsi="仿宋_GB2312" w:eastAsia="仿宋_GB2312"/>
          <w:color w:val="auto"/>
          <w:sz w:val="32"/>
          <w:szCs w:val="22"/>
          <w:highlight w:val="none"/>
          <w:u w:val="none"/>
        </w:rPr>
        <w:t>等新技术赋能</w:t>
      </w:r>
      <w:bookmarkEnd w:id="6"/>
      <w:r>
        <w:rPr>
          <w:rFonts w:hint="eastAsia" w:ascii="仿宋_GB2312" w:hAnsi="仿宋_GB2312" w:eastAsia="仿宋_GB2312"/>
          <w:color w:val="auto"/>
          <w:sz w:val="32"/>
          <w:szCs w:val="22"/>
          <w:highlight w:val="none"/>
          <w:u w:val="none"/>
          <w:lang w:eastAsia="zh-CN"/>
        </w:rPr>
        <w:t>，</w:t>
      </w:r>
      <w:r>
        <w:rPr>
          <w:rFonts w:hint="eastAsia" w:ascii="仿宋_GB2312" w:hAnsi="仿宋_GB2312" w:eastAsia="仿宋_GB2312"/>
          <w:color w:val="auto"/>
          <w:sz w:val="32"/>
          <w:szCs w:val="22"/>
          <w:highlight w:val="none"/>
          <w:u w:val="none"/>
        </w:rPr>
        <w:t>聚焦数字技术驱动的未来趋势性项目，支持</w:t>
      </w:r>
      <w:r>
        <w:rPr>
          <w:rFonts w:hint="eastAsia" w:ascii="仿宋_GB2312" w:hAnsi="仿宋_GB2312" w:eastAsia="仿宋_GB2312"/>
          <w:color w:val="auto"/>
          <w:sz w:val="32"/>
          <w:szCs w:val="22"/>
          <w:highlight w:val="none"/>
          <w:u w:val="none"/>
          <w:lang w:eastAsia="zh-CN"/>
        </w:rPr>
        <w:t>医疗器械</w:t>
      </w:r>
      <w:r>
        <w:rPr>
          <w:rFonts w:hint="eastAsia" w:ascii="仿宋_GB2312" w:hAnsi="仿宋_GB2312" w:eastAsia="仿宋_GB2312" w:cs="Times New Roman"/>
          <w:color w:val="auto"/>
          <w:sz w:val="32"/>
          <w:szCs w:val="22"/>
          <w:highlight w:val="none"/>
          <w:u w:val="none"/>
        </w:rPr>
        <w:t>数智化转型</w:t>
      </w:r>
      <w:r>
        <w:rPr>
          <w:rFonts w:hint="eastAsia" w:ascii="仿宋_GB2312" w:hAnsi="仿宋_GB2312" w:eastAsia="仿宋_GB2312" w:cs="Times New Roman"/>
          <w:color w:val="auto"/>
          <w:sz w:val="32"/>
          <w:szCs w:val="22"/>
          <w:highlight w:val="none"/>
          <w:u w:val="none"/>
          <w:lang w:val="en-US" w:eastAsia="zh-CN"/>
        </w:rPr>
        <w:t>项目，</w:t>
      </w:r>
      <w:r>
        <w:rPr>
          <w:rFonts w:hint="eastAsia" w:ascii="仿宋_GB2312" w:hAnsi="仿宋_GB2312" w:eastAsia="仿宋_GB2312"/>
          <w:color w:val="auto"/>
          <w:sz w:val="32"/>
          <w:szCs w:val="22"/>
          <w:highlight w:val="none"/>
          <w:u w:val="none"/>
        </w:rPr>
        <w:t>包括</w:t>
      </w:r>
      <w:r>
        <w:rPr>
          <w:rFonts w:hint="eastAsia" w:ascii="仿宋_GB2312" w:hAnsi="仿宋_GB2312" w:eastAsia="仿宋_GB2312"/>
          <w:color w:val="auto"/>
          <w:sz w:val="32"/>
          <w:szCs w:val="22"/>
          <w:highlight w:val="none"/>
          <w:u w:val="none"/>
          <w:lang w:val="en-US" w:eastAsia="zh-CN"/>
        </w:rPr>
        <w:t>人工智能</w:t>
      </w:r>
      <w:r>
        <w:rPr>
          <w:rFonts w:hint="eastAsia" w:ascii="仿宋_GB2312" w:hAnsi="仿宋_GB2312" w:eastAsia="仿宋_GB2312"/>
          <w:color w:val="auto"/>
          <w:sz w:val="32"/>
          <w:szCs w:val="22"/>
          <w:highlight w:val="none"/>
          <w:u w:val="none"/>
        </w:rPr>
        <w:t>赋能研发、临床试验智能管理、生产工艺数字转型、智慧实验室等；</w:t>
      </w:r>
      <w:r>
        <w:rPr>
          <w:rFonts w:ascii="仿宋_GB2312" w:hAnsi="仿宋_GB2312" w:eastAsia="仿宋_GB2312"/>
          <w:color w:val="auto"/>
          <w:sz w:val="32"/>
          <w:szCs w:val="22"/>
          <w:highlight w:val="none"/>
          <w:u w:val="none"/>
        </w:rPr>
        <w:t>支持医工交叉结合项目，包括</w:t>
      </w:r>
      <w:r>
        <w:rPr>
          <w:rFonts w:hint="eastAsia" w:ascii="仿宋_GB2312" w:hAnsi="仿宋_GB2312" w:eastAsia="仿宋_GB2312"/>
          <w:color w:val="auto"/>
          <w:sz w:val="32"/>
          <w:szCs w:val="22"/>
          <w:highlight w:val="none"/>
          <w:u w:val="none"/>
          <w:lang w:val="en-US" w:eastAsia="zh-CN"/>
        </w:rPr>
        <w:t>人工智能</w:t>
      </w:r>
      <w:r>
        <w:rPr>
          <w:rFonts w:ascii="仿宋_GB2312" w:hAnsi="仿宋_GB2312" w:eastAsia="仿宋_GB2312"/>
          <w:color w:val="auto"/>
          <w:sz w:val="32"/>
          <w:szCs w:val="22"/>
          <w:highlight w:val="none"/>
          <w:u w:val="none"/>
        </w:rPr>
        <w:t>辅助影像识别与诊断、</w:t>
      </w:r>
      <w:r>
        <w:rPr>
          <w:rFonts w:hint="eastAsia" w:ascii="仿宋_GB2312" w:hAnsi="仿宋_GB2312" w:eastAsia="仿宋_GB2312"/>
          <w:color w:val="auto"/>
          <w:sz w:val="32"/>
          <w:szCs w:val="22"/>
          <w:highlight w:val="none"/>
          <w:u w:val="none"/>
        </w:rPr>
        <w:t>智能化</w:t>
      </w:r>
      <w:r>
        <w:rPr>
          <w:rFonts w:ascii="仿宋_GB2312" w:hAnsi="仿宋_GB2312" w:eastAsia="仿宋_GB2312"/>
          <w:color w:val="auto"/>
          <w:sz w:val="32"/>
          <w:szCs w:val="22"/>
          <w:highlight w:val="none"/>
          <w:u w:val="none"/>
        </w:rPr>
        <w:t>手术机器人</w:t>
      </w:r>
      <w:r>
        <w:rPr>
          <w:rFonts w:hint="eastAsia" w:ascii="仿宋_GB2312" w:hAnsi="仿宋_GB2312" w:eastAsia="仿宋_GB2312"/>
          <w:color w:val="auto"/>
          <w:sz w:val="32"/>
          <w:szCs w:val="22"/>
          <w:highlight w:val="none"/>
          <w:u w:val="none"/>
        </w:rPr>
        <w:t>、脑机接口与类脑芯片</w:t>
      </w:r>
      <w:r>
        <w:rPr>
          <w:rFonts w:ascii="仿宋_GB2312" w:hAnsi="仿宋_GB2312" w:eastAsia="仿宋_GB2312"/>
          <w:color w:val="auto"/>
          <w:sz w:val="32"/>
          <w:szCs w:val="22"/>
          <w:highlight w:val="none"/>
          <w:u w:val="none"/>
        </w:rPr>
        <w:t>、</w:t>
      </w:r>
      <w:r>
        <w:rPr>
          <w:rFonts w:hint="eastAsia" w:ascii="仿宋_GB2312" w:hAnsi="仿宋_GB2312" w:eastAsia="仿宋_GB2312"/>
          <w:color w:val="auto"/>
          <w:sz w:val="32"/>
          <w:szCs w:val="22"/>
          <w:highlight w:val="none"/>
          <w:u w:val="none"/>
        </w:rPr>
        <w:t>新型</w:t>
      </w:r>
      <w:r>
        <w:rPr>
          <w:rFonts w:ascii="仿宋_GB2312" w:hAnsi="仿宋_GB2312" w:eastAsia="仿宋_GB2312"/>
          <w:color w:val="auto"/>
          <w:sz w:val="32"/>
          <w:szCs w:val="22"/>
          <w:highlight w:val="none"/>
          <w:u w:val="none"/>
        </w:rPr>
        <w:t>生物</w:t>
      </w:r>
      <w:r>
        <w:rPr>
          <w:rFonts w:hint="eastAsia" w:ascii="仿宋_GB2312" w:hAnsi="仿宋_GB2312" w:eastAsia="仿宋_GB2312"/>
          <w:color w:val="auto"/>
          <w:sz w:val="32"/>
          <w:szCs w:val="22"/>
          <w:highlight w:val="none"/>
          <w:u w:val="none"/>
        </w:rPr>
        <w:t>医用</w:t>
      </w:r>
      <w:r>
        <w:rPr>
          <w:rFonts w:ascii="仿宋_GB2312" w:hAnsi="仿宋_GB2312" w:eastAsia="仿宋_GB2312"/>
          <w:color w:val="auto"/>
          <w:sz w:val="32"/>
          <w:szCs w:val="22"/>
          <w:highlight w:val="none"/>
          <w:u w:val="none"/>
        </w:rPr>
        <w:t>材料</w:t>
      </w:r>
      <w:r>
        <w:rPr>
          <w:rFonts w:hint="eastAsia" w:ascii="仿宋_GB2312" w:hAnsi="仿宋_GB2312" w:eastAsia="仿宋_GB2312"/>
          <w:color w:val="auto"/>
          <w:sz w:val="32"/>
          <w:szCs w:val="22"/>
          <w:highlight w:val="none"/>
          <w:u w:val="none"/>
        </w:rPr>
        <w:t>、可穿戴设备等</w:t>
      </w:r>
      <w:r>
        <w:rPr>
          <w:rFonts w:hint="eastAsia" w:ascii="仿宋_GB2312" w:hAnsi="仿宋_GB2312" w:eastAsia="仿宋_GB2312" w:cs="仿宋_GB2312"/>
          <w:bCs/>
          <w:color w:val="auto"/>
          <w:sz w:val="32"/>
          <w:szCs w:val="32"/>
          <w:highlight w:val="none"/>
          <w:u w:val="none"/>
          <w:shd w:val="clear" w:color="auto" w:fill="FFFFFF"/>
        </w:rPr>
        <w:t>。以上项目转化应用后，经认定，</w:t>
      </w:r>
      <w:r>
        <w:rPr>
          <w:rFonts w:hint="eastAsia" w:ascii="仿宋_GB2312" w:hAnsi="仿宋_GB2312" w:eastAsia="仿宋_GB2312"/>
          <w:color w:val="auto"/>
          <w:sz w:val="32"/>
          <w:szCs w:val="22"/>
          <w:highlight w:val="none"/>
          <w:u w:val="none"/>
        </w:rPr>
        <w:t>每个项目给予最</w:t>
      </w:r>
      <w:r>
        <w:rPr>
          <w:rFonts w:hint="eastAsia" w:ascii="仿宋_GB2312" w:hAnsi="仿宋_GB2312" w:eastAsia="仿宋_GB2312" w:cs="Times New Roman"/>
          <w:color w:val="auto"/>
          <w:sz w:val="32"/>
          <w:szCs w:val="22"/>
          <w:highlight w:val="none"/>
          <w:u w:val="none"/>
        </w:rPr>
        <w:t>高</w:t>
      </w:r>
      <w:r>
        <w:rPr>
          <w:rFonts w:hint="eastAsia" w:ascii="仿宋_GB2312" w:hAnsi="仿宋_GB2312" w:eastAsia="仿宋_GB2312" w:cs="Times New Roman"/>
          <w:color w:val="auto"/>
          <w:sz w:val="32"/>
          <w:szCs w:val="22"/>
          <w:highlight w:val="none"/>
          <w:u w:val="none"/>
          <w:lang w:val="en-US" w:eastAsia="zh-CN"/>
        </w:rPr>
        <w:t>1</w:t>
      </w:r>
      <w:r>
        <w:rPr>
          <w:rFonts w:hint="eastAsia" w:ascii="仿宋_GB2312" w:hAnsi="仿宋_GB2312" w:eastAsia="仿宋_GB2312" w:cs="Times New Roman"/>
          <w:color w:val="auto"/>
          <w:sz w:val="32"/>
          <w:szCs w:val="22"/>
          <w:highlight w:val="none"/>
          <w:u w:val="none"/>
        </w:rPr>
        <w:t>000万元</w:t>
      </w:r>
      <w:r>
        <w:rPr>
          <w:rFonts w:hint="eastAsia" w:ascii="仿宋_GB2312" w:hAnsi="仿宋_GB2312" w:eastAsia="仿宋_GB2312"/>
          <w:color w:val="auto"/>
          <w:sz w:val="32"/>
          <w:szCs w:val="22"/>
          <w:highlight w:val="none"/>
          <w:u w:val="none"/>
        </w:rPr>
        <w:t>的资金支持</w:t>
      </w:r>
      <w:r>
        <w:rPr>
          <w:rFonts w:ascii="仿宋_GB2312" w:hAnsi="仿宋_GB2312" w:eastAsia="仿宋_GB2312"/>
          <w:color w:val="auto"/>
          <w:sz w:val="32"/>
          <w:szCs w:val="2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第三条</w:t>
      </w:r>
      <w:r>
        <w:rPr>
          <w:rFonts w:hint="eastAsia" w:ascii="仿宋_GB2312" w:hAnsi="仿宋_GB2312" w:eastAsia="仿宋_GB2312" w:cs="仿宋_GB2312"/>
          <w:color w:val="auto"/>
          <w:sz w:val="32"/>
          <w:szCs w:val="32"/>
          <w:highlight w:val="none"/>
          <w:u w:val="none"/>
          <w:lang w:val="en-US" w:eastAsia="zh-CN"/>
        </w:rPr>
        <w:t xml:space="preserve">  </w:t>
      </w:r>
      <w:bookmarkStart w:id="7" w:name="OLE_LINK6"/>
      <w:r>
        <w:rPr>
          <w:rFonts w:hint="eastAsia" w:ascii="仿宋_GB2312" w:hAnsi="仿宋_GB2312" w:eastAsia="仿宋_GB2312" w:cs="仿宋_GB2312"/>
          <w:color w:val="auto"/>
          <w:sz w:val="32"/>
          <w:szCs w:val="32"/>
          <w:highlight w:val="none"/>
          <w:u w:val="none"/>
          <w:lang w:val="en-US" w:eastAsia="zh-CN"/>
        </w:rPr>
        <w:t>支持加大研发投入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（一）对上一年度营业收入不足3000万元、上两年研发投入总额达1000万元以上的企业，按照不超过上一年度研发投入的10%给予最高200万元的资金支持，累计支持不超过三年。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w:t>
      </w:r>
      <w:bookmarkStart w:id="8" w:name="OLE_LINK17"/>
      <w:r>
        <w:rPr>
          <w:rFonts w:hint="eastAsia" w:ascii="仿宋_GB2312" w:hAnsi="仿宋_GB2312" w:eastAsia="仿宋_GB2312" w:cs="仿宋_GB2312"/>
          <w:b w:val="0"/>
          <w:bCs w:val="0"/>
          <w:color w:val="auto"/>
          <w:sz w:val="32"/>
          <w:szCs w:val="32"/>
          <w:highlight w:val="none"/>
          <w:u w:val="none"/>
          <w:lang w:val="en-US" w:eastAsia="zh-CN"/>
        </w:rPr>
        <w:t>支持企业购买临床试验责任保险、产品责任保险等，按单个保单实际缴纳保费的50%，给予最高50万元支持，每年最高支持200万元。</w:t>
      </w:r>
      <w:bookmarkEnd w:id="8"/>
    </w:p>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w:t>
      </w:r>
      <w:bookmarkStart w:id="9" w:name="OLE_LINK7"/>
      <w:r>
        <w:rPr>
          <w:rFonts w:hint="eastAsia" w:ascii="黑体" w:hAnsi="黑体" w:eastAsia="黑体" w:cs="黑体"/>
          <w:color w:val="auto"/>
          <w:sz w:val="32"/>
          <w:szCs w:val="32"/>
          <w:highlight w:val="none"/>
          <w:u w:val="none"/>
          <w:lang w:eastAsia="zh-CN"/>
        </w:rPr>
        <w:t>四条</w:t>
      </w:r>
      <w:r>
        <w:rPr>
          <w:rFonts w:hint="eastAsia" w:ascii="仿宋_GB2312" w:hAnsi="仿宋_GB2312" w:eastAsia="仿宋_GB2312" w:cs="仿宋_GB2312"/>
          <w:color w:val="auto"/>
          <w:sz w:val="32"/>
          <w:szCs w:val="32"/>
          <w:highlight w:val="none"/>
          <w:u w:val="none"/>
          <w:lang w:val="en-US" w:eastAsia="zh-CN"/>
        </w:rPr>
        <w:t xml:space="preserve">  支持设立研发中心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鼓励</w:t>
      </w:r>
      <w:r>
        <w:rPr>
          <w:rFonts w:hint="eastAsia" w:ascii="仿宋_GB2312" w:hAnsi="仿宋_GB2312" w:eastAsia="仿宋_GB2312" w:cs="仿宋_GB2312"/>
          <w:color w:val="auto"/>
          <w:sz w:val="32"/>
          <w:szCs w:val="32"/>
          <w:highlight w:val="none"/>
          <w:u w:val="none"/>
          <w:lang w:eastAsia="zh-CN"/>
        </w:rPr>
        <w:t>头部企业联合</w:t>
      </w:r>
      <w:r>
        <w:rPr>
          <w:rFonts w:hint="eastAsia" w:ascii="仿宋_GB2312" w:hAnsi="仿宋_GB2312" w:eastAsia="仿宋_GB2312" w:cs="仿宋_GB2312"/>
          <w:color w:val="auto"/>
          <w:sz w:val="32"/>
          <w:szCs w:val="32"/>
          <w:highlight w:val="none"/>
          <w:u w:val="none"/>
        </w:rPr>
        <w:t>高校、科研院所</w:t>
      </w:r>
      <w:r>
        <w:rPr>
          <w:rFonts w:hint="eastAsia" w:ascii="仿宋_GB2312" w:hAnsi="仿宋_GB2312" w:eastAsia="仿宋_GB2312" w:cs="仿宋_GB2312"/>
          <w:color w:val="auto"/>
          <w:sz w:val="32"/>
          <w:szCs w:val="32"/>
          <w:highlight w:val="none"/>
          <w:u w:val="none"/>
          <w:lang w:eastAsia="zh-CN"/>
        </w:rPr>
        <w:t>、医疗机构</w:t>
      </w:r>
      <w:r>
        <w:rPr>
          <w:rFonts w:hint="eastAsia" w:ascii="仿宋_GB2312" w:hAnsi="仿宋_GB2312" w:eastAsia="仿宋_GB2312" w:cs="仿宋_GB2312"/>
          <w:color w:val="auto"/>
          <w:sz w:val="32"/>
          <w:szCs w:val="32"/>
          <w:highlight w:val="none"/>
          <w:u w:val="none"/>
        </w:rPr>
        <w:t>等建立研发中心。对上一年度落地经</w:t>
      </w:r>
      <w:r>
        <w:rPr>
          <w:rFonts w:hint="eastAsia" w:ascii="仿宋_GB2312" w:hAnsi="仿宋_GB2312" w:eastAsia="仿宋_GB2312" w:cs="仿宋_GB2312"/>
          <w:color w:val="auto"/>
          <w:sz w:val="32"/>
          <w:szCs w:val="32"/>
          <w:highlight w:val="none"/>
          <w:u w:val="none"/>
          <w:lang w:eastAsia="zh-CN"/>
        </w:rPr>
        <w:t>国家部委</w:t>
      </w:r>
      <w:r>
        <w:rPr>
          <w:rFonts w:hint="eastAsia" w:ascii="仿宋_GB2312" w:hAnsi="仿宋_GB2312" w:eastAsia="仿宋_GB2312" w:cs="仿宋_GB2312"/>
          <w:color w:val="auto"/>
          <w:sz w:val="32"/>
          <w:szCs w:val="32"/>
          <w:highlight w:val="none"/>
          <w:u w:val="none"/>
        </w:rPr>
        <w:t>认定的研发中心</w:t>
      </w:r>
      <w:bookmarkStart w:id="10" w:name="OLE_LINK2"/>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国家</w:t>
      </w:r>
      <w:bookmarkStart w:id="11" w:name="OLE_LINK5"/>
      <w:r>
        <w:rPr>
          <w:rFonts w:hint="eastAsia" w:ascii="仿宋_GB2312" w:hAnsi="仿宋_GB2312" w:eastAsia="仿宋_GB2312" w:cs="仿宋_GB2312"/>
          <w:color w:val="auto"/>
          <w:sz w:val="32"/>
          <w:szCs w:val="32"/>
          <w:highlight w:val="none"/>
          <w:u w:val="none"/>
        </w:rPr>
        <w:t>重点实验室、</w:t>
      </w:r>
      <w:bookmarkEnd w:id="11"/>
      <w:r>
        <w:rPr>
          <w:rFonts w:hint="eastAsia" w:ascii="仿宋_GB2312" w:hAnsi="仿宋_GB2312" w:eastAsia="仿宋_GB2312" w:cs="仿宋_GB2312"/>
          <w:color w:val="auto"/>
          <w:sz w:val="32"/>
          <w:szCs w:val="32"/>
          <w:highlight w:val="none"/>
          <w:u w:val="none"/>
        </w:rPr>
        <w:t>国家工程研究中心、国家技术创新中心、国家产业创新中心、国家制造业创新中心、国家级企业技术中心</w:t>
      </w:r>
      <w:bookmarkEnd w:id="10"/>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，给予最高</w:t>
      </w:r>
      <w:r>
        <w:rPr>
          <w:rFonts w:hint="eastAsia" w:ascii="仿宋_GB2312" w:hAnsi="仿宋_GB2312" w:eastAsia="仿宋_GB2312" w:cs="仿宋_GB2312"/>
          <w:color w:val="auto"/>
          <w:sz w:val="32"/>
          <w:szCs w:val="32"/>
          <w:highlight w:val="none"/>
          <w:u w:val="none"/>
          <w:lang w:val="en-US" w:eastAsia="zh-CN"/>
        </w:rPr>
        <w:t>200</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eastAsia="zh-CN"/>
        </w:rPr>
        <w:t>支持。对获得北京市级认定的</w:t>
      </w:r>
      <w:r>
        <w:rPr>
          <w:rFonts w:hint="eastAsia" w:ascii="仿宋_GB2312" w:hAnsi="仿宋_GB2312" w:eastAsia="仿宋_GB2312" w:cs="仿宋_GB2312"/>
          <w:color w:val="auto"/>
          <w:sz w:val="32"/>
          <w:szCs w:val="32"/>
          <w:highlight w:val="none"/>
          <w:u w:val="none"/>
        </w:rPr>
        <w:t>重点实验室、工程研究中心</w:t>
      </w:r>
      <w:r>
        <w:rPr>
          <w:rFonts w:hint="eastAsia" w:ascii="仿宋_GB2312" w:hAnsi="仿宋_GB2312" w:eastAsia="仿宋_GB2312" w:cs="仿宋_GB2312"/>
          <w:color w:val="auto"/>
          <w:sz w:val="32"/>
          <w:szCs w:val="32"/>
          <w:highlight w:val="none"/>
          <w:u w:val="none"/>
          <w:lang w:eastAsia="zh-CN"/>
        </w:rPr>
        <w:t>等资质，给予最高</w:t>
      </w:r>
      <w:r>
        <w:rPr>
          <w:rFonts w:hint="eastAsia" w:ascii="仿宋_GB2312" w:hAnsi="仿宋_GB2312" w:eastAsia="仿宋_GB2312" w:cs="仿宋_GB2312"/>
          <w:color w:val="auto"/>
          <w:sz w:val="32"/>
          <w:szCs w:val="32"/>
          <w:highlight w:val="none"/>
          <w:u w:val="none"/>
          <w:lang w:val="en-US" w:eastAsia="zh-CN"/>
        </w:rPr>
        <w:t>50万元</w:t>
      </w:r>
      <w:bookmarkEnd w:id="9"/>
      <w:r>
        <w:rPr>
          <w:rFonts w:hint="eastAsia" w:ascii="仿宋_GB2312" w:hAnsi="仿宋_GB2312" w:eastAsia="仿宋_GB2312" w:cs="仿宋_GB2312"/>
          <w:color w:val="auto"/>
          <w:sz w:val="32"/>
          <w:szCs w:val="32"/>
          <w:highlight w:val="none"/>
          <w:u w:val="none"/>
          <w:lang w:val="en-US" w:eastAsia="zh-CN"/>
        </w:rPr>
        <w:t>支持。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第三章</w:t>
      </w:r>
      <w:r>
        <w:rPr>
          <w:rFonts w:hint="eastAsia" w:ascii="黑体" w:hAnsi="黑体" w:eastAsia="黑体" w:cs="黑体"/>
          <w:color w:val="auto"/>
          <w:sz w:val="32"/>
          <w:szCs w:val="32"/>
          <w:highlight w:val="none"/>
          <w:u w:val="none"/>
          <w:lang w:val="en-US" w:eastAsia="zh-CN"/>
        </w:rPr>
        <w:t xml:space="preserve">  支持产业化项目落地</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第五条</w:t>
      </w:r>
      <w:r>
        <w:rPr>
          <w:rFonts w:hint="eastAsia" w:ascii="仿宋_GB2312" w:hAnsi="仿宋_GB2312" w:eastAsia="仿宋_GB2312" w:cs="仿宋_GB2312"/>
          <w:color w:val="auto"/>
          <w:sz w:val="32"/>
          <w:szCs w:val="32"/>
          <w:highlight w:val="none"/>
          <w:u w:val="none"/>
          <w:lang w:val="en-US" w:eastAsia="zh-CN"/>
        </w:rPr>
        <w:t xml:space="preserve">  </w:t>
      </w:r>
      <w:bookmarkStart w:id="12" w:name="OLE_LINK9"/>
      <w:r>
        <w:rPr>
          <w:rFonts w:hint="eastAsia" w:ascii="仿宋_GB2312" w:hAnsi="仿宋_GB2312" w:eastAsia="仿宋_GB2312" w:cs="仿宋_GB2312"/>
          <w:color w:val="auto"/>
          <w:sz w:val="32"/>
          <w:szCs w:val="32"/>
          <w:highlight w:val="none"/>
          <w:u w:val="none"/>
          <w:lang w:val="en-US" w:eastAsia="zh-CN"/>
        </w:rPr>
        <w:t>支持创新器械申报取证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（一）对获得</w:t>
      </w:r>
      <w:r>
        <w:rPr>
          <w:rFonts w:hint="eastAsia" w:ascii="仿宋_GB2312" w:hAnsi="仿宋_GB2312" w:eastAsia="仿宋_GB2312"/>
          <w:sz w:val="32"/>
          <w:u w:val="none"/>
        </w:rPr>
        <w:t>（含引入）</w:t>
      </w:r>
      <w:r>
        <w:rPr>
          <w:rFonts w:hint="eastAsia" w:ascii="仿宋_GB2312" w:hAnsi="仿宋_GB2312" w:eastAsia="仿宋_GB2312" w:cs="仿宋_GB2312"/>
          <w:color w:val="auto"/>
          <w:sz w:val="32"/>
          <w:szCs w:val="32"/>
          <w:highlight w:val="none"/>
          <w:u w:val="none"/>
          <w:lang w:val="en-US" w:eastAsia="zh-CN"/>
        </w:rPr>
        <w:t>三类医疗器械注册证的，</w:t>
      </w:r>
      <w:bookmarkStart w:id="13" w:name="OLE_LINK14"/>
      <w:r>
        <w:rPr>
          <w:rFonts w:hint="eastAsia" w:ascii="仿宋_GB2312" w:hAnsi="仿宋_GB2312" w:eastAsia="仿宋_GB2312" w:cs="仿宋_GB2312"/>
          <w:color w:val="auto"/>
          <w:sz w:val="32"/>
          <w:szCs w:val="32"/>
          <w:highlight w:val="none"/>
          <w:u w:val="none"/>
          <w:lang w:val="en-US" w:eastAsia="zh-CN"/>
        </w:rPr>
        <w:t>按照不超过取证产品研发投入的30%，</w:t>
      </w:r>
      <w:bookmarkEnd w:id="13"/>
      <w:r>
        <w:rPr>
          <w:rFonts w:hint="eastAsia" w:ascii="仿宋_GB2312" w:hAnsi="仿宋_GB2312" w:eastAsia="仿宋_GB2312" w:cs="仿宋_GB2312"/>
          <w:color w:val="auto"/>
          <w:sz w:val="32"/>
          <w:szCs w:val="32"/>
          <w:highlight w:val="none"/>
          <w:u w:val="none"/>
          <w:lang w:val="en-US" w:eastAsia="zh-CN"/>
        </w:rPr>
        <w:t>单个注册证给予最高300万元支持，单个企业每年最高支持3000万元，</w:t>
      </w:r>
      <w:r>
        <w:rPr>
          <w:rFonts w:hint="eastAsia" w:ascii="仿宋_GB2312" w:hAnsi="仿宋_GB2312" w:eastAsia="仿宋_GB2312"/>
          <w:sz w:val="32"/>
          <w:u w:val="none"/>
        </w:rPr>
        <w:t>经认定的重大二类医疗器械可参照三类医疗器械予以支持。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对通过国家创新医疗器械特别审查程序或医疗器械优先审批程序取得（含引入）医疗器械注册证的，按照不超过取证产品研发投入的30%，单个注册证给予最高800万元支持，落地生产的一次性再给予最高300万元支持。对进入国家创新医疗器械特别</w:t>
      </w:r>
      <w:r>
        <w:rPr>
          <w:rFonts w:hint="eastAsia" w:ascii="仿宋_GB2312" w:hAnsi="仿宋_GB2312" w:eastAsia="仿宋_GB2312"/>
          <w:sz w:val="32"/>
          <w:u w:val="none"/>
        </w:rPr>
        <w:t>或优先</w:t>
      </w:r>
      <w:r>
        <w:rPr>
          <w:rFonts w:hint="eastAsia" w:ascii="仿宋_GB2312" w:hAnsi="仿宋_GB2312" w:eastAsia="仿宋_GB2312" w:cs="仿宋_GB2312"/>
          <w:color w:val="auto"/>
          <w:sz w:val="32"/>
          <w:szCs w:val="32"/>
          <w:highlight w:val="none"/>
          <w:u w:val="none"/>
          <w:lang w:val="en-US" w:eastAsia="zh-CN"/>
        </w:rPr>
        <w:t>审查程序的，单个产品可先期给予最高200万元支持。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（三）对进入美国FDA《</w:t>
      </w:r>
      <w:bookmarkStart w:id="14" w:name="OLE_LINK3"/>
      <w:r>
        <w:rPr>
          <w:rFonts w:hint="eastAsia" w:ascii="仿宋_GB2312" w:hAnsi="仿宋_GB2312" w:eastAsia="仿宋_GB2312" w:cs="仿宋_GB2312"/>
          <w:color w:val="auto"/>
          <w:sz w:val="32"/>
          <w:szCs w:val="32"/>
          <w:highlight w:val="none"/>
          <w:u w:val="none"/>
          <w:lang w:val="en-US" w:eastAsia="zh-CN"/>
        </w:rPr>
        <w:t>突破性器械项目指南</w:t>
      </w:r>
      <w:bookmarkEnd w:id="14"/>
      <w:r>
        <w:rPr>
          <w:rFonts w:hint="eastAsia" w:ascii="仿宋_GB2312" w:hAnsi="仿宋_GB2312" w:eastAsia="仿宋_GB2312" w:cs="仿宋_GB2312"/>
          <w:color w:val="auto"/>
          <w:sz w:val="32"/>
          <w:szCs w:val="32"/>
          <w:highlight w:val="none"/>
          <w:u w:val="none"/>
          <w:lang w:val="en-US" w:eastAsia="zh-CN"/>
        </w:rPr>
        <w:t>》（Breakthrough Devices Program）的，按照不超过研发投入的30%，一次性给予最高800万元支持。</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5" w:name="OLE_LINK19"/>
      <w:r>
        <w:rPr>
          <w:rFonts w:hint="eastAsia" w:ascii="黑体" w:hAnsi="黑体" w:eastAsia="黑体" w:cs="黑体"/>
          <w:color w:val="auto"/>
          <w:sz w:val="32"/>
          <w:szCs w:val="32"/>
          <w:highlight w:val="none"/>
          <w:u w:val="none"/>
          <w:lang w:eastAsia="zh-CN"/>
        </w:rPr>
        <w:t>第六条</w:t>
      </w:r>
      <w:r>
        <w:rPr>
          <w:rFonts w:hint="eastAsia" w:ascii="仿宋_GB2312" w:hAnsi="仿宋_GB2312" w:eastAsia="仿宋_GB2312" w:cs="仿宋_GB2312"/>
          <w:color w:val="auto"/>
          <w:sz w:val="32"/>
          <w:szCs w:val="32"/>
          <w:highlight w:val="none"/>
          <w:u w:val="none"/>
          <w:lang w:val="en-US" w:eastAsia="zh-CN"/>
        </w:rPr>
        <w:t xml:space="preserve">  </w:t>
      </w:r>
      <w:bookmarkStart w:id="16" w:name="OLE_LINK10"/>
      <w:r>
        <w:rPr>
          <w:rFonts w:hint="eastAsia" w:ascii="仿宋_GB2312" w:hAnsi="仿宋_GB2312" w:eastAsia="仿宋_GB2312" w:cs="仿宋_GB2312"/>
          <w:color w:val="auto"/>
          <w:sz w:val="32"/>
          <w:szCs w:val="32"/>
          <w:highlight w:val="none"/>
          <w:u w:val="none"/>
          <w:lang w:val="en-US" w:eastAsia="zh-CN"/>
        </w:rPr>
        <w:t>支持重大项目落地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（一）对具有全球领先水平和全局引领作用，拥有国际领先团队，预期有重大突破并具有较强国际竞争潜力的产业化项目，协议投资2亿元（含）以上，且在签约后1年内开工建设的项目，经认定后，最高</w:t>
      </w:r>
      <w:r>
        <w:rPr>
          <w:rFonts w:ascii="仿宋_GB2312" w:hAnsi="仿宋_GB2312" w:eastAsia="仿宋_GB2312"/>
          <w:color w:val="auto"/>
          <w:sz w:val="32"/>
          <w:szCs w:val="22"/>
          <w:highlight w:val="none"/>
          <w:u w:val="none"/>
        </w:rPr>
        <w:t>可</w:t>
      </w:r>
      <w:r>
        <w:rPr>
          <w:rFonts w:hint="eastAsia" w:ascii="仿宋_GB2312" w:hAnsi="仿宋_GB2312" w:eastAsia="仿宋_GB2312"/>
          <w:color w:val="auto"/>
          <w:sz w:val="32"/>
          <w:szCs w:val="22"/>
          <w:highlight w:val="none"/>
          <w:u w:val="none"/>
        </w:rPr>
        <w:t>按照项目</w:t>
      </w:r>
      <w:r>
        <w:rPr>
          <w:rFonts w:ascii="仿宋_GB2312" w:hAnsi="仿宋_GB2312" w:eastAsia="仿宋_GB2312"/>
          <w:color w:val="auto"/>
          <w:sz w:val="32"/>
          <w:szCs w:val="22"/>
          <w:highlight w:val="none"/>
          <w:u w:val="none"/>
        </w:rPr>
        <w:t>固定资产</w:t>
      </w:r>
      <w:r>
        <w:rPr>
          <w:rFonts w:hint="eastAsia" w:ascii="仿宋_GB2312" w:hAnsi="仿宋_GB2312" w:eastAsia="仿宋_GB2312"/>
          <w:color w:val="auto"/>
          <w:sz w:val="32"/>
          <w:szCs w:val="22"/>
          <w:highlight w:val="none"/>
          <w:u w:val="none"/>
        </w:rPr>
        <w:t>实际</w:t>
      </w:r>
      <w:r>
        <w:rPr>
          <w:rFonts w:ascii="仿宋_GB2312" w:hAnsi="仿宋_GB2312" w:eastAsia="仿宋_GB2312"/>
          <w:color w:val="auto"/>
          <w:sz w:val="32"/>
          <w:szCs w:val="22"/>
          <w:highlight w:val="none"/>
          <w:u w:val="none"/>
        </w:rPr>
        <w:t>投资额</w:t>
      </w:r>
      <w:r>
        <w:rPr>
          <w:rFonts w:hint="eastAsia" w:ascii="仿宋_GB2312" w:hAnsi="仿宋_GB2312" w:eastAsia="仿宋_GB2312"/>
          <w:color w:val="auto"/>
          <w:sz w:val="32"/>
          <w:szCs w:val="22"/>
          <w:highlight w:val="none"/>
          <w:u w:val="none"/>
        </w:rPr>
        <w:t>（除房产、土地外）的</w:t>
      </w:r>
      <w:r>
        <w:rPr>
          <w:rFonts w:ascii="仿宋_GB2312" w:hAnsi="仿宋_GB2312" w:eastAsia="仿宋_GB2312"/>
          <w:color w:val="auto"/>
          <w:sz w:val="32"/>
          <w:szCs w:val="22"/>
          <w:highlight w:val="none"/>
          <w:u w:val="none"/>
        </w:rPr>
        <w:t>30%分阶段</w:t>
      </w:r>
      <w:r>
        <w:rPr>
          <w:rFonts w:hint="eastAsia" w:ascii="仿宋_GB2312" w:hAnsi="仿宋_GB2312" w:eastAsia="仿宋_GB2312"/>
          <w:color w:val="auto"/>
          <w:sz w:val="32"/>
          <w:szCs w:val="22"/>
          <w:highlight w:val="none"/>
          <w:u w:val="none"/>
        </w:rPr>
        <w:t>给予</w:t>
      </w:r>
      <w:r>
        <w:rPr>
          <w:rFonts w:ascii="仿宋_GB2312" w:hAnsi="仿宋_GB2312" w:eastAsia="仿宋_GB2312"/>
          <w:color w:val="auto"/>
          <w:sz w:val="32"/>
          <w:szCs w:val="22"/>
          <w:highlight w:val="none"/>
          <w:u w:val="none"/>
        </w:rPr>
        <w:t>资金</w:t>
      </w:r>
      <w:r>
        <w:rPr>
          <w:rFonts w:hint="eastAsia" w:ascii="仿宋_GB2312" w:hAnsi="仿宋_GB2312" w:eastAsia="仿宋_GB2312"/>
          <w:color w:val="auto"/>
          <w:sz w:val="32"/>
          <w:szCs w:val="22"/>
          <w:highlight w:val="none"/>
          <w:u w:val="none"/>
        </w:rPr>
        <w:t>支持</w:t>
      </w:r>
      <w:r>
        <w:rPr>
          <w:rFonts w:ascii="仿宋_GB2312" w:hAnsi="仿宋_GB2312" w:eastAsia="仿宋_GB2312"/>
          <w:color w:val="auto"/>
          <w:sz w:val="32"/>
          <w:szCs w:val="22"/>
          <w:highlight w:val="none"/>
          <w:u w:val="none"/>
        </w:rPr>
        <w:t>，</w:t>
      </w:r>
      <w:r>
        <w:rPr>
          <w:rFonts w:hint="eastAsia" w:ascii="仿宋_GB2312" w:hAnsi="仿宋_GB2312" w:eastAsia="仿宋_GB2312"/>
          <w:color w:val="auto"/>
          <w:sz w:val="32"/>
          <w:szCs w:val="22"/>
          <w:highlight w:val="none"/>
          <w:u w:val="none"/>
        </w:rPr>
        <w:t>单个项目</w:t>
      </w:r>
      <w:r>
        <w:rPr>
          <w:rFonts w:ascii="仿宋_GB2312" w:hAnsi="仿宋_GB2312" w:eastAsia="仿宋_GB2312"/>
          <w:color w:val="auto"/>
          <w:sz w:val="32"/>
          <w:szCs w:val="22"/>
          <w:highlight w:val="none"/>
          <w:u w:val="none"/>
        </w:rPr>
        <w:t>不超过3亿元。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（二）围绕国家重大战略实施和重点领域安全能力建设，支持重大技术成果落地转化和先进工艺创新应用，推动技术产品化、产品产业化、产业规模化，填补国内空白领域。经认定后，可给予最高1亿元支持。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（三）对获国家级重大专项任务、重要资质认定资金支持的企业，经认定后可给予实际获得专项资金最高100%的配套支持，获得国家级专项支持的企业年度最高配比额度500万元。</w:t>
      </w:r>
    </w:p>
    <w:bookmarkEnd w:id="15"/>
    <w:bookmarkEnd w:id="1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7" w:name="OLE_LINK20"/>
      <w:r>
        <w:rPr>
          <w:rFonts w:hint="eastAsia" w:ascii="黑体" w:hAnsi="黑体" w:eastAsia="黑体" w:cs="黑体"/>
          <w:color w:val="auto"/>
          <w:sz w:val="32"/>
          <w:szCs w:val="32"/>
          <w:highlight w:val="none"/>
          <w:u w:val="none"/>
          <w:lang w:val="en-US" w:eastAsia="zh-CN"/>
        </w:rPr>
        <w:t>第七条</w:t>
      </w:r>
      <w:r>
        <w:rPr>
          <w:rFonts w:hint="eastAsia" w:ascii="仿宋_GB2312" w:hAnsi="仿宋_GB2312" w:eastAsia="仿宋_GB2312" w:cs="仿宋_GB2312"/>
          <w:color w:val="auto"/>
          <w:sz w:val="32"/>
          <w:szCs w:val="32"/>
          <w:highlight w:val="none"/>
          <w:u w:val="none"/>
          <w:lang w:val="en-US" w:eastAsia="zh-CN"/>
        </w:rPr>
        <w:t xml:space="preserve">  </w:t>
      </w:r>
      <w:bookmarkStart w:id="18" w:name="OLE_LINK11"/>
      <w:r>
        <w:rPr>
          <w:rFonts w:hint="eastAsia" w:ascii="仿宋_GB2312" w:hAnsi="仿宋_GB2312" w:eastAsia="仿宋_GB2312" w:cs="仿宋_GB2312"/>
          <w:color w:val="auto"/>
          <w:sz w:val="32"/>
          <w:szCs w:val="32"/>
          <w:highlight w:val="none"/>
          <w:u w:val="none"/>
          <w:lang w:val="en-US" w:eastAsia="zh-CN"/>
        </w:rPr>
        <w:t>支持产业空间拓展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从事医疗器械研发生产、市场推广、产业平台搭建等业务的</w:t>
      </w:r>
      <w:bookmarkStart w:id="19" w:name="OLE_LINK26"/>
      <w:r>
        <w:rPr>
          <w:rFonts w:hint="eastAsia" w:ascii="仿宋_GB2312" w:hAnsi="仿宋_GB2312" w:eastAsia="仿宋_GB2312" w:cs="仿宋_GB2312"/>
          <w:color w:val="auto"/>
          <w:sz w:val="32"/>
          <w:szCs w:val="32"/>
          <w:highlight w:val="none"/>
          <w:u w:val="none"/>
          <w:lang w:val="en-US" w:eastAsia="zh-CN"/>
        </w:rPr>
        <w:t>行业商协会、学会、产业联盟等机构</w:t>
      </w:r>
      <w:bookmarkEnd w:id="19"/>
      <w:r>
        <w:rPr>
          <w:rFonts w:hint="eastAsia" w:ascii="仿宋_GB2312" w:hAnsi="仿宋_GB2312" w:eastAsia="仿宋_GB2312" w:cs="仿宋_GB2312"/>
          <w:color w:val="auto"/>
          <w:sz w:val="32"/>
          <w:szCs w:val="32"/>
          <w:highlight w:val="none"/>
          <w:u w:val="none"/>
          <w:lang w:val="en-US" w:eastAsia="zh-CN"/>
        </w:rPr>
        <w:t>，租赁面积100平方米（含）以上的，按照不超过实际支付房租的50%给予每年最高500万元的资金支持，累计支持不超过三年。</w:t>
      </w:r>
      <w:bookmarkEnd w:id="18"/>
    </w:p>
    <w:bookmarkEnd w:id="1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bookmarkStart w:id="20" w:name="OLE_LINK21"/>
      <w:bookmarkStart w:id="21" w:name="OLE_LINK12"/>
      <w:r>
        <w:rPr>
          <w:rFonts w:hint="eastAsia" w:ascii="仿宋_GB2312" w:hAnsi="仿宋_GB2312" w:eastAsia="仿宋_GB2312" w:cs="仿宋_GB2312"/>
          <w:color w:val="auto"/>
          <w:sz w:val="32"/>
          <w:szCs w:val="32"/>
          <w:highlight w:val="none"/>
          <w:u w:val="none"/>
          <w:lang w:val="en-US" w:eastAsia="zh-CN"/>
        </w:rPr>
        <w:t>支持企业扩能升级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（一）对单品种年产值首次突破5000万元、1亿元、5亿元、10亿元、20亿元的企业，分别给予20万元、40万元、200万元、500万元、1000万元的支持。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（二）对年度主营业务收入首次突破5亿元（含）的企业，按照主营业务收入的</w:t>
      </w:r>
      <w:bookmarkStart w:id="22" w:name="OLE_LINK13"/>
      <w:r>
        <w:rPr>
          <w:rFonts w:hint="eastAsia" w:ascii="仿宋_GB2312" w:hAnsi="仿宋_GB2312" w:eastAsia="仿宋_GB2312" w:cs="仿宋_GB2312"/>
          <w:color w:val="auto"/>
          <w:sz w:val="32"/>
          <w:szCs w:val="32"/>
          <w:highlight w:val="none"/>
          <w:u w:val="none"/>
          <w:lang w:val="en-US" w:eastAsia="zh-CN"/>
        </w:rPr>
        <w:t>2‰</w:t>
      </w:r>
      <w:bookmarkEnd w:id="22"/>
      <w:r>
        <w:rPr>
          <w:rFonts w:hint="eastAsia" w:ascii="仿宋_GB2312" w:hAnsi="仿宋_GB2312" w:eastAsia="仿宋_GB2312" w:cs="仿宋_GB2312"/>
          <w:color w:val="auto"/>
          <w:sz w:val="32"/>
          <w:szCs w:val="32"/>
          <w:highlight w:val="none"/>
          <w:u w:val="none"/>
          <w:lang w:val="en-US" w:eastAsia="zh-CN"/>
        </w:rPr>
        <w:t>给予资金支持。</w:t>
      </w:r>
      <w:bookmarkEnd w:id="20"/>
    </w:p>
    <w:bookmarkEnd w:id="21"/>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第九条</w:t>
      </w:r>
      <w:r>
        <w:rPr>
          <w:rFonts w:hint="eastAsia" w:ascii="仿宋_GB2312" w:hAnsi="仿宋_GB2312" w:eastAsia="仿宋_GB2312" w:cs="仿宋_GB2312"/>
          <w:color w:val="auto"/>
          <w:sz w:val="32"/>
          <w:szCs w:val="32"/>
          <w:highlight w:val="none"/>
          <w:u w:val="none"/>
          <w:lang w:val="en-US" w:eastAsia="zh-CN"/>
        </w:rPr>
        <w:t xml:space="preserve">  支持关键平台建设</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22"/>
          <w:highlight w:val="none"/>
          <w:u w:val="none"/>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olor w:val="auto"/>
          <w:sz w:val="32"/>
          <w:szCs w:val="22"/>
          <w:highlight w:val="none"/>
          <w:u w:val="none"/>
        </w:rPr>
        <w:t>支持</w:t>
      </w:r>
      <w:r>
        <w:rPr>
          <w:rFonts w:ascii="仿宋_GB2312" w:hAnsi="仿宋_GB2312" w:eastAsia="仿宋_GB2312"/>
          <w:color w:val="auto"/>
          <w:sz w:val="32"/>
          <w:szCs w:val="22"/>
          <w:highlight w:val="none"/>
          <w:u w:val="none"/>
        </w:rPr>
        <w:t>CRO、CDMO、CMO等</w:t>
      </w:r>
      <w:r>
        <w:rPr>
          <w:rFonts w:hint="eastAsia" w:ascii="仿宋_GB2312" w:hAnsi="仿宋_GB2312" w:eastAsia="仿宋_GB2312"/>
          <w:color w:val="auto"/>
          <w:sz w:val="32"/>
          <w:szCs w:val="22"/>
          <w:highlight w:val="none"/>
          <w:u w:val="none"/>
        </w:rPr>
        <w:t>合同外包服务机构发展</w:t>
      </w:r>
      <w:r>
        <w:rPr>
          <w:rFonts w:ascii="仿宋_GB2312" w:hAnsi="仿宋_GB2312" w:eastAsia="仿宋_GB2312"/>
          <w:color w:val="auto"/>
          <w:sz w:val="32"/>
          <w:szCs w:val="22"/>
          <w:highlight w:val="none"/>
          <w:u w:val="none"/>
        </w:rPr>
        <w:t>，经评审</w:t>
      </w:r>
      <w:r>
        <w:rPr>
          <w:rFonts w:hint="eastAsia" w:ascii="仿宋_GB2312" w:hAnsi="仿宋_GB2312" w:eastAsia="仿宋_GB2312"/>
          <w:color w:val="auto"/>
          <w:sz w:val="32"/>
          <w:szCs w:val="22"/>
          <w:highlight w:val="none"/>
          <w:u w:val="none"/>
        </w:rPr>
        <w:t>后</w:t>
      </w:r>
      <w:r>
        <w:rPr>
          <w:rFonts w:ascii="仿宋_GB2312" w:hAnsi="仿宋_GB2312" w:eastAsia="仿宋_GB2312"/>
          <w:color w:val="auto"/>
          <w:sz w:val="32"/>
          <w:szCs w:val="22"/>
          <w:highlight w:val="none"/>
          <w:u w:val="none"/>
        </w:rPr>
        <w:t>，按照</w:t>
      </w:r>
      <w:r>
        <w:rPr>
          <w:rFonts w:hint="eastAsia" w:ascii="仿宋_GB2312" w:hAnsi="仿宋_GB2312" w:eastAsia="仿宋_GB2312"/>
          <w:color w:val="auto"/>
          <w:sz w:val="32"/>
          <w:szCs w:val="22"/>
          <w:highlight w:val="none"/>
          <w:u w:val="none"/>
          <w:lang w:val="en-US" w:eastAsia="zh-CN"/>
        </w:rPr>
        <w:t>不超过</w:t>
      </w:r>
      <w:r>
        <w:rPr>
          <w:rFonts w:ascii="仿宋_GB2312" w:hAnsi="仿宋_GB2312" w:eastAsia="仿宋_GB2312"/>
          <w:color w:val="auto"/>
          <w:sz w:val="32"/>
          <w:szCs w:val="22"/>
          <w:highlight w:val="none"/>
          <w:u w:val="none"/>
        </w:rPr>
        <w:t>年度实际服务金额的20%给予</w:t>
      </w:r>
      <w:r>
        <w:rPr>
          <w:rFonts w:hint="eastAsia" w:ascii="仿宋_GB2312" w:hAnsi="仿宋_GB2312" w:eastAsia="仿宋_GB2312"/>
          <w:color w:val="auto"/>
          <w:sz w:val="32"/>
          <w:szCs w:val="22"/>
          <w:highlight w:val="none"/>
          <w:u w:val="none"/>
        </w:rPr>
        <w:t>资金支持</w:t>
      </w:r>
      <w:r>
        <w:rPr>
          <w:rFonts w:ascii="仿宋_GB2312" w:hAnsi="仿宋_GB2312" w:eastAsia="仿宋_GB2312"/>
          <w:color w:val="auto"/>
          <w:sz w:val="32"/>
          <w:szCs w:val="22"/>
          <w:highlight w:val="none"/>
          <w:u w:val="none"/>
        </w:rPr>
        <w:t>，每个企业每年</w:t>
      </w:r>
      <w:r>
        <w:rPr>
          <w:rFonts w:hint="eastAsia" w:ascii="仿宋_GB2312" w:hAnsi="仿宋_GB2312" w:eastAsia="仿宋_GB2312"/>
          <w:color w:val="auto"/>
          <w:sz w:val="32"/>
          <w:szCs w:val="22"/>
          <w:highlight w:val="none"/>
          <w:u w:val="none"/>
          <w:lang w:eastAsia="zh-CN"/>
        </w:rPr>
        <w:t>最高支持</w:t>
      </w:r>
      <w:r>
        <w:rPr>
          <w:rFonts w:ascii="仿宋_GB2312" w:hAnsi="仿宋_GB2312" w:eastAsia="仿宋_GB2312"/>
          <w:color w:val="auto"/>
          <w:sz w:val="32"/>
          <w:szCs w:val="22"/>
          <w:highlight w:val="none"/>
          <w:u w:val="none"/>
        </w:rPr>
        <w:t>1000万元，</w:t>
      </w:r>
      <w:r>
        <w:rPr>
          <w:rFonts w:hint="eastAsia" w:ascii="仿宋_GB2312" w:hAnsi="仿宋_GB2312" w:eastAsia="仿宋_GB2312"/>
          <w:color w:val="auto"/>
          <w:sz w:val="32"/>
          <w:szCs w:val="22"/>
          <w:highlight w:val="none"/>
          <w:u w:val="none"/>
          <w:lang w:eastAsia="zh-CN"/>
        </w:rPr>
        <w:t>累计</w:t>
      </w:r>
      <w:r>
        <w:rPr>
          <w:rFonts w:hint="eastAsia" w:ascii="仿宋_GB2312" w:hAnsi="仿宋_GB2312" w:eastAsia="仿宋_GB2312"/>
          <w:color w:val="auto"/>
          <w:sz w:val="32"/>
          <w:szCs w:val="22"/>
          <w:highlight w:val="none"/>
          <w:u w:val="none"/>
        </w:rPr>
        <w:t>支持不超过</w:t>
      </w:r>
      <w:r>
        <w:rPr>
          <w:rFonts w:ascii="仿宋_GB2312" w:hAnsi="仿宋_GB2312" w:eastAsia="仿宋_GB2312"/>
          <w:color w:val="auto"/>
          <w:sz w:val="32"/>
          <w:szCs w:val="22"/>
          <w:highlight w:val="none"/>
          <w:u w:val="none"/>
        </w:rPr>
        <w:t>三年。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（二）对新建的临床试验机构、临床研究医院、产业中试及生产、专业孵化器、实验动物、检验检测、组织冻存、生物样本库、医疗器械物流、工业废弃物处理、实验病理、医师培训、咨询服务等</w:t>
      </w:r>
      <w:r>
        <w:rPr>
          <w:rFonts w:ascii="仿宋_GB2312" w:hAnsi="仿宋_GB2312" w:eastAsia="仿宋_GB2312"/>
          <w:color w:val="auto"/>
          <w:sz w:val="32"/>
          <w:szCs w:val="22"/>
          <w:highlight w:val="none"/>
          <w:u w:val="none"/>
        </w:rPr>
        <w:t>具有公</w:t>
      </w:r>
      <w:r>
        <w:rPr>
          <w:rFonts w:hint="eastAsia" w:ascii="仿宋_GB2312" w:hAnsi="仿宋_GB2312" w:eastAsia="仿宋_GB2312"/>
          <w:color w:val="auto"/>
          <w:sz w:val="32"/>
          <w:szCs w:val="22"/>
          <w:highlight w:val="none"/>
          <w:u w:val="none"/>
        </w:rPr>
        <w:t>共</w:t>
      </w:r>
      <w:r>
        <w:rPr>
          <w:rFonts w:ascii="仿宋_GB2312" w:hAnsi="仿宋_GB2312" w:eastAsia="仿宋_GB2312"/>
          <w:color w:val="auto"/>
          <w:sz w:val="32"/>
          <w:szCs w:val="22"/>
          <w:highlight w:val="none"/>
          <w:u w:val="none"/>
        </w:rPr>
        <w:t>属性</w:t>
      </w:r>
      <w:r>
        <w:rPr>
          <w:rFonts w:hint="eastAsia" w:ascii="仿宋_GB2312" w:hAnsi="仿宋_GB2312" w:eastAsia="仿宋_GB2312"/>
          <w:color w:val="auto"/>
          <w:sz w:val="32"/>
          <w:szCs w:val="22"/>
          <w:highlight w:val="none"/>
          <w:u w:val="none"/>
        </w:rPr>
        <w:t>的共享服务</w:t>
      </w:r>
      <w:r>
        <w:rPr>
          <w:rFonts w:ascii="仿宋_GB2312" w:hAnsi="仿宋_GB2312" w:eastAsia="仿宋_GB2312"/>
          <w:color w:val="auto"/>
          <w:sz w:val="32"/>
          <w:szCs w:val="22"/>
          <w:highlight w:val="none"/>
          <w:u w:val="none"/>
        </w:rPr>
        <w:t>平台</w:t>
      </w:r>
      <w:r>
        <w:rPr>
          <w:rFonts w:hint="eastAsia" w:ascii="仿宋_GB2312" w:hAnsi="仿宋_GB2312" w:eastAsia="仿宋_GB2312" w:cs="仿宋_GB2312"/>
          <w:color w:val="auto"/>
          <w:sz w:val="32"/>
          <w:szCs w:val="32"/>
          <w:highlight w:val="none"/>
          <w:u w:val="none"/>
          <w:lang w:val="en-US" w:eastAsia="zh-CN"/>
        </w:rPr>
        <w:t>，经过认定后，最高按照项目总投资额度30%给予支持，最高支持3000万元。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第四章</w:t>
      </w:r>
      <w:r>
        <w:rPr>
          <w:rFonts w:hint="eastAsia" w:ascii="黑体" w:hAnsi="黑体" w:eastAsia="黑体" w:cs="黑体"/>
          <w:color w:val="auto"/>
          <w:sz w:val="32"/>
          <w:szCs w:val="32"/>
          <w:highlight w:val="none"/>
          <w:u w:val="none"/>
          <w:lang w:val="en-US" w:eastAsia="zh-CN"/>
        </w:rPr>
        <w:t xml:space="preserve">  </w:t>
      </w:r>
      <w:bookmarkStart w:id="23" w:name="OLE_LINK18"/>
      <w:r>
        <w:rPr>
          <w:rFonts w:hint="eastAsia" w:ascii="黑体" w:hAnsi="黑体" w:eastAsia="黑体" w:cs="黑体"/>
          <w:color w:val="auto"/>
          <w:sz w:val="32"/>
          <w:szCs w:val="32"/>
          <w:highlight w:val="none"/>
          <w:u w:val="none"/>
          <w:lang w:eastAsia="zh-CN"/>
        </w:rPr>
        <w:t>支持创新产品推广应用</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第十条</w:t>
      </w:r>
      <w:r>
        <w:rPr>
          <w:rFonts w:hint="eastAsia" w:ascii="仿宋_GB2312" w:hAnsi="仿宋_GB2312" w:eastAsia="仿宋_GB2312" w:cs="仿宋_GB2312"/>
          <w:color w:val="auto"/>
          <w:sz w:val="32"/>
          <w:szCs w:val="32"/>
          <w:highlight w:val="none"/>
          <w:u w:val="none"/>
          <w:lang w:val="en-US" w:eastAsia="zh-CN"/>
        </w:rPr>
        <w:t xml:space="preserve">  </w:t>
      </w:r>
      <w:bookmarkStart w:id="24" w:name="OLE_LINK22"/>
      <w:r>
        <w:rPr>
          <w:rFonts w:hint="eastAsia" w:ascii="仿宋_GB2312" w:hAnsi="仿宋_GB2312" w:eastAsia="仿宋_GB2312" w:cs="仿宋_GB2312"/>
          <w:color w:val="auto"/>
          <w:sz w:val="32"/>
          <w:szCs w:val="32"/>
          <w:highlight w:val="none"/>
          <w:u w:val="none"/>
          <w:lang w:val="en-US" w:eastAsia="zh-CN"/>
        </w:rPr>
        <w:t>支持首创技术产品推广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（一）鼓励首台（套）应用示范，对经北京市级及以上认定的高端医疗器械首台（套）装备及关键零部件，最高按当年该产品销售额的20%给予支持，最高支持1000万元。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（二）鼓励企业参加医疗器械集中带量采购。对于首次中标医疗器械产品，最高按照中标总价3%的比例予以支持，单个品种的最高支持300万元。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（三）支持区内医疗机构和企业开展创新器械应用示范项目，进行上市后评价、真实世界疗效评价、适应症拓展等研究，择优分阶段给予每个项目最高200万元支持。</w:t>
      </w:r>
    </w:p>
    <w:bookmarkEnd w:id="2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5" w:name="OLE_LINK23"/>
      <w:r>
        <w:rPr>
          <w:rFonts w:hint="eastAsia" w:ascii="黑体" w:hAnsi="黑体" w:eastAsia="黑体" w:cs="黑体"/>
          <w:color w:val="auto"/>
          <w:sz w:val="32"/>
          <w:szCs w:val="32"/>
          <w:highlight w:val="none"/>
          <w:u w:val="none"/>
          <w:lang w:eastAsia="zh-CN"/>
        </w:rPr>
        <w:t>第十一条</w:t>
      </w:r>
      <w:r>
        <w:rPr>
          <w:rFonts w:hint="eastAsia" w:ascii="仿宋_GB2312" w:hAnsi="仿宋_GB2312" w:eastAsia="仿宋_GB2312" w:cs="仿宋_GB2312"/>
          <w:color w:val="auto"/>
          <w:sz w:val="32"/>
          <w:szCs w:val="32"/>
          <w:highlight w:val="none"/>
          <w:u w:val="none"/>
          <w:lang w:val="en-US" w:eastAsia="zh-CN"/>
        </w:rPr>
        <w:t xml:space="preserve">  支持拓展海外市场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（一）支持通过并购海外同行业公司，做大做强主营业务，对于并购金额超过10亿元人民币的，一次性给予最高1000万元支持。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（二）支持创新医疗器械产品出海，对出口额合计超过1000万元的产品，最高按照该产品出口总额的5‰给予支持，单个企业年度合计支持金额不超过2000万元。</w:t>
      </w:r>
    </w:p>
    <w:bookmarkEnd w:id="2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第十二条</w:t>
      </w:r>
      <w:r>
        <w:rPr>
          <w:rFonts w:hint="eastAsia" w:ascii="仿宋_GB2312" w:hAnsi="仿宋_GB2312" w:eastAsia="仿宋_GB2312" w:cs="仿宋_GB2312"/>
          <w:color w:val="auto"/>
          <w:sz w:val="32"/>
          <w:szCs w:val="32"/>
          <w:highlight w:val="none"/>
          <w:u w:val="none"/>
          <w:lang w:val="en-US" w:eastAsia="zh-CN"/>
        </w:rPr>
        <w:t xml:space="preserve">  </w:t>
      </w:r>
      <w:bookmarkStart w:id="26" w:name="OLE_LINK24"/>
      <w:r>
        <w:rPr>
          <w:rFonts w:hint="eastAsia" w:ascii="仿宋_GB2312" w:hAnsi="仿宋_GB2312" w:eastAsia="仿宋_GB2312" w:cs="仿宋_GB2312"/>
          <w:color w:val="auto"/>
          <w:sz w:val="32"/>
          <w:szCs w:val="32"/>
          <w:highlight w:val="none"/>
          <w:u w:val="none"/>
          <w:lang w:val="en-US" w:eastAsia="zh-CN"/>
        </w:rPr>
        <w:t>支持举办高规格会议活动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（一）鼓励发起举办学术会议、产业论坛、医师培训等活动，按照规定给予不超过项目经费20%的支持，单个项目年度最高支持200万元。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（二）对企业参与海外高品质、国际化、专业化的生物医药类专业论坛、峰会、展会等活动的，按照规定给予不超过项目经费50%，最高支持5万元，每单位每年累计支持金额不超过50万元。</w:t>
      </w:r>
      <w:bookmarkEnd w:id="2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第五章  支持优化产业发展环境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第十三条</w:t>
      </w:r>
      <w:r>
        <w:rPr>
          <w:rFonts w:hint="eastAsia" w:ascii="仿宋_GB2312" w:hAnsi="仿宋_GB2312" w:eastAsia="仿宋_GB2312" w:cs="仿宋_GB2312"/>
          <w:color w:val="auto"/>
          <w:sz w:val="32"/>
          <w:szCs w:val="32"/>
          <w:highlight w:val="none"/>
          <w:u w:val="none"/>
          <w:lang w:val="en-US" w:eastAsia="zh-CN"/>
        </w:rPr>
        <w:t xml:space="preserve">  支持优化政策服务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（一）鼓励产业集聚区积极争取国家级政策先行先试。依托国家服务业扩大开放综合示范区、中国(北京)自由贸易试验区建设，试点开展生物制品跨境分段生产，探索开展医疗器械产品跨境委托生产先行先试。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依托医疗器械创新北京服务站，畅通企业与药监部门的政策沟通专属咨询渠道，针对注册受理前技术问题咨询，不限次数为区域内医疗器械研制机构、生产企业提供优质高效的咨询指导，结合区域内企业技术咨询的重点关注问题等需求情况，定期组织专题培训活动，支持医疗器械创新产品加速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第十四条</w:t>
      </w:r>
      <w:r>
        <w:rPr>
          <w:rFonts w:hint="eastAsia" w:ascii="仿宋_GB2312" w:hAnsi="仿宋_GB2312" w:eastAsia="仿宋_GB2312" w:cs="仿宋_GB2312"/>
          <w:color w:val="auto"/>
          <w:sz w:val="32"/>
          <w:szCs w:val="32"/>
          <w:highlight w:val="none"/>
          <w:u w:val="none"/>
          <w:lang w:val="en-US" w:eastAsia="zh-CN"/>
        </w:rPr>
        <w:t xml:space="preserve">  支持发起设立基金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鼓励具备能力的龙头企业和投资机构发起设立创业投资基金、产业投资基金，发挥专业化优势，挖掘培育优质标的资源，推动科技成果加速转化，对经认定的医疗器械投资基金，简化相关主体登记手续，引导基金出资占比最高为基金规模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第十五条</w:t>
      </w:r>
      <w:r>
        <w:rPr>
          <w:rFonts w:hint="eastAsia" w:ascii="仿宋_GB2312" w:hAnsi="仿宋_GB2312" w:eastAsia="仿宋_GB2312" w:cs="仿宋_GB2312"/>
          <w:color w:val="auto"/>
          <w:sz w:val="32"/>
          <w:szCs w:val="32"/>
          <w:highlight w:val="none"/>
          <w:u w:val="none"/>
          <w:lang w:val="en-US" w:eastAsia="zh-CN"/>
        </w:rPr>
        <w:t xml:space="preserve">  支持特色园区改造升级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支持医疗器械产业园区开展基础设施、配套设施、装修等环境改造工程，经评审，可申请增加容积率。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第十六条</w:t>
      </w:r>
      <w:r>
        <w:rPr>
          <w:rFonts w:hint="eastAsia" w:ascii="仿宋_GB2312" w:hAnsi="仿宋_GB2312" w:eastAsia="仿宋_GB2312" w:cs="仿宋_GB2312"/>
          <w:color w:val="auto"/>
          <w:sz w:val="32"/>
          <w:szCs w:val="32"/>
          <w:highlight w:val="none"/>
          <w:u w:val="none"/>
          <w:lang w:val="en-US" w:eastAsia="zh-CN"/>
        </w:rPr>
        <w:t xml:space="preserve">  同一项目、同一事项同时符合本措施多项条款或昌平区其他扶持政策的，按照“从优不重复”原则予以支持。</w:t>
      </w:r>
      <w:r>
        <w:rPr>
          <w:rFonts w:hint="eastAsia" w:ascii="仿宋_GB2312" w:hAnsi="仿宋_GB2312" w:eastAsia="仿宋_GB2312"/>
          <w:color w:val="auto"/>
          <w:sz w:val="32"/>
          <w:szCs w:val="22"/>
          <w:highlight w:val="none"/>
          <w:u w:val="none"/>
          <w:lang w:eastAsia="zh-CN"/>
        </w:rPr>
        <w:t>对于特别重大项目</w:t>
      </w:r>
      <w:r>
        <w:rPr>
          <w:rFonts w:hint="eastAsia" w:ascii="仿宋_GB2312" w:hAnsi="仿宋_GB2312" w:eastAsia="仿宋_GB2312"/>
          <w:color w:val="auto"/>
          <w:sz w:val="32"/>
          <w:szCs w:val="22"/>
          <w:highlight w:val="none"/>
          <w:u w:val="none"/>
          <w:lang w:val="en-US" w:eastAsia="zh-CN"/>
        </w:rPr>
        <w:t>，经区政府研究同意后可适当提高支持标准</w:t>
      </w:r>
      <w:r>
        <w:rPr>
          <w:rFonts w:hint="eastAsia" w:ascii="仿宋_GB2312" w:hAnsi="仿宋_GB2312" w:eastAsia="仿宋_GB2312"/>
          <w:color w:val="auto"/>
          <w:sz w:val="32"/>
          <w:szCs w:val="22"/>
          <w:highlight w:val="none"/>
          <w:u w:val="none"/>
        </w:rPr>
        <w:t>。符合北京市市级其他扶持政策规定的，可申请同时享受市、区两级政策支持，另有规定的除外。</w:t>
      </w:r>
      <w:r>
        <w:rPr>
          <w:rFonts w:hint="eastAsia" w:ascii="仿宋_GB2312" w:hAnsi="仿宋_GB2312" w:eastAsia="仿宋_GB2312" w:cs="仿宋_GB2312"/>
          <w:color w:val="auto"/>
          <w:sz w:val="32"/>
          <w:szCs w:val="32"/>
          <w:highlight w:val="none"/>
          <w:u w:val="none"/>
          <w:lang w:val="en-US" w:eastAsia="zh-CN"/>
        </w:rPr>
        <w:t>获得本措施支持的，纳入企业服务绿色通道，在人才引进、公租房等方面依法予以保障。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第十七条</w:t>
      </w:r>
      <w:r>
        <w:rPr>
          <w:rFonts w:hint="eastAsia" w:ascii="仿宋_GB2312" w:hAnsi="仿宋_GB2312" w:eastAsia="仿宋_GB2312" w:cs="仿宋_GB2312"/>
          <w:color w:val="auto"/>
          <w:sz w:val="32"/>
          <w:szCs w:val="32"/>
          <w:highlight w:val="none"/>
          <w:u w:val="none"/>
          <w:lang w:val="en-US" w:eastAsia="zh-CN"/>
        </w:rPr>
        <w:t xml:space="preserve">  本措施由中关村科技园区昌平园管理委员会负责解释，自发布之日起施行，施行期间，如遇国家、北京市相关政策调整，将做相应调整。</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F8"/>
    <w:rsid w:val="000132F8"/>
    <w:rsid w:val="00063641"/>
    <w:rsid w:val="000B5C89"/>
    <w:rsid w:val="001051B2"/>
    <w:rsid w:val="0012121C"/>
    <w:rsid w:val="001C3326"/>
    <w:rsid w:val="001D3BAA"/>
    <w:rsid w:val="00210F2C"/>
    <w:rsid w:val="002F1609"/>
    <w:rsid w:val="0030178F"/>
    <w:rsid w:val="00367180"/>
    <w:rsid w:val="00375378"/>
    <w:rsid w:val="00453D40"/>
    <w:rsid w:val="00471250"/>
    <w:rsid w:val="00471D93"/>
    <w:rsid w:val="004925AB"/>
    <w:rsid w:val="004F281D"/>
    <w:rsid w:val="004F6F15"/>
    <w:rsid w:val="00512DC4"/>
    <w:rsid w:val="00574AD4"/>
    <w:rsid w:val="005A0355"/>
    <w:rsid w:val="005C5104"/>
    <w:rsid w:val="00610118"/>
    <w:rsid w:val="006354A2"/>
    <w:rsid w:val="00645669"/>
    <w:rsid w:val="0067630D"/>
    <w:rsid w:val="006B4079"/>
    <w:rsid w:val="006F102F"/>
    <w:rsid w:val="007254DE"/>
    <w:rsid w:val="00746F98"/>
    <w:rsid w:val="007770D9"/>
    <w:rsid w:val="007C34DF"/>
    <w:rsid w:val="007D3B57"/>
    <w:rsid w:val="008032B8"/>
    <w:rsid w:val="008708B9"/>
    <w:rsid w:val="008A4985"/>
    <w:rsid w:val="008D30FF"/>
    <w:rsid w:val="009E53FC"/>
    <w:rsid w:val="00AA7C83"/>
    <w:rsid w:val="00AF10CB"/>
    <w:rsid w:val="00B25D00"/>
    <w:rsid w:val="00C448DF"/>
    <w:rsid w:val="00C8420A"/>
    <w:rsid w:val="00C945D8"/>
    <w:rsid w:val="00CA0DF7"/>
    <w:rsid w:val="00D047A2"/>
    <w:rsid w:val="00D10E12"/>
    <w:rsid w:val="00D55C21"/>
    <w:rsid w:val="00D81706"/>
    <w:rsid w:val="00E15050"/>
    <w:rsid w:val="00E262D1"/>
    <w:rsid w:val="00E64BFA"/>
    <w:rsid w:val="00EA2D54"/>
    <w:rsid w:val="00EE3313"/>
    <w:rsid w:val="00EF215D"/>
    <w:rsid w:val="00F12C46"/>
    <w:rsid w:val="00F454C8"/>
    <w:rsid w:val="00FE0FE0"/>
    <w:rsid w:val="01351709"/>
    <w:rsid w:val="01AC1803"/>
    <w:rsid w:val="020D1222"/>
    <w:rsid w:val="021C1A07"/>
    <w:rsid w:val="02751C84"/>
    <w:rsid w:val="02A632C8"/>
    <w:rsid w:val="02AF5066"/>
    <w:rsid w:val="02EA3359"/>
    <w:rsid w:val="03610A19"/>
    <w:rsid w:val="03BF5D87"/>
    <w:rsid w:val="04336B73"/>
    <w:rsid w:val="0492775C"/>
    <w:rsid w:val="04C970C8"/>
    <w:rsid w:val="051D0C6B"/>
    <w:rsid w:val="05400673"/>
    <w:rsid w:val="054B3DBD"/>
    <w:rsid w:val="059C4BE9"/>
    <w:rsid w:val="0630390D"/>
    <w:rsid w:val="06994D63"/>
    <w:rsid w:val="06E53051"/>
    <w:rsid w:val="07187830"/>
    <w:rsid w:val="072A2561"/>
    <w:rsid w:val="075F5A26"/>
    <w:rsid w:val="081F5A1A"/>
    <w:rsid w:val="088B2F95"/>
    <w:rsid w:val="08C41B78"/>
    <w:rsid w:val="08E73965"/>
    <w:rsid w:val="08FE0041"/>
    <w:rsid w:val="09102247"/>
    <w:rsid w:val="09793B17"/>
    <w:rsid w:val="0A5D380D"/>
    <w:rsid w:val="0A7C3745"/>
    <w:rsid w:val="0A8841AB"/>
    <w:rsid w:val="0AC340E8"/>
    <w:rsid w:val="0BB721C8"/>
    <w:rsid w:val="0C444DD3"/>
    <w:rsid w:val="0C5F430D"/>
    <w:rsid w:val="0D0365E6"/>
    <w:rsid w:val="0D545C66"/>
    <w:rsid w:val="0D5D3233"/>
    <w:rsid w:val="0DBE1987"/>
    <w:rsid w:val="0E1C70B3"/>
    <w:rsid w:val="0E53178C"/>
    <w:rsid w:val="0E9D8D14"/>
    <w:rsid w:val="0EDE48A1"/>
    <w:rsid w:val="0EE67E01"/>
    <w:rsid w:val="0EEB6CFE"/>
    <w:rsid w:val="10920722"/>
    <w:rsid w:val="10A6390E"/>
    <w:rsid w:val="10E478C7"/>
    <w:rsid w:val="1113607D"/>
    <w:rsid w:val="11AB3E0C"/>
    <w:rsid w:val="11AE2812"/>
    <w:rsid w:val="11BF2FFF"/>
    <w:rsid w:val="12C744FA"/>
    <w:rsid w:val="12E60311"/>
    <w:rsid w:val="130265BC"/>
    <w:rsid w:val="13404651"/>
    <w:rsid w:val="1377657B"/>
    <w:rsid w:val="13845F2C"/>
    <w:rsid w:val="139F3D54"/>
    <w:rsid w:val="13EA0AB8"/>
    <w:rsid w:val="140F6AF9"/>
    <w:rsid w:val="14813CA6"/>
    <w:rsid w:val="14A07520"/>
    <w:rsid w:val="14E8498B"/>
    <w:rsid w:val="1523533D"/>
    <w:rsid w:val="15520E16"/>
    <w:rsid w:val="156441F4"/>
    <w:rsid w:val="15B33927"/>
    <w:rsid w:val="15B66837"/>
    <w:rsid w:val="162E71AF"/>
    <w:rsid w:val="16733D65"/>
    <w:rsid w:val="16DC7F11"/>
    <w:rsid w:val="17007F50"/>
    <w:rsid w:val="1702591B"/>
    <w:rsid w:val="17041BCF"/>
    <w:rsid w:val="17366C5B"/>
    <w:rsid w:val="17594306"/>
    <w:rsid w:val="178943E4"/>
    <w:rsid w:val="17CC7990"/>
    <w:rsid w:val="180B5FDA"/>
    <w:rsid w:val="187F4DFA"/>
    <w:rsid w:val="1889564E"/>
    <w:rsid w:val="18D32C3A"/>
    <w:rsid w:val="18F30F3D"/>
    <w:rsid w:val="19124D0F"/>
    <w:rsid w:val="192C06DB"/>
    <w:rsid w:val="197A4A94"/>
    <w:rsid w:val="198B67E0"/>
    <w:rsid w:val="19C213AC"/>
    <w:rsid w:val="19FA7E4C"/>
    <w:rsid w:val="1A27694C"/>
    <w:rsid w:val="1A603952"/>
    <w:rsid w:val="1A7A5DFE"/>
    <w:rsid w:val="1AB80BF1"/>
    <w:rsid w:val="1AF14B43"/>
    <w:rsid w:val="1AFA6F05"/>
    <w:rsid w:val="1B693508"/>
    <w:rsid w:val="1B844BD5"/>
    <w:rsid w:val="1BA960DA"/>
    <w:rsid w:val="1BD702B9"/>
    <w:rsid w:val="1BE475CF"/>
    <w:rsid w:val="1BE816A0"/>
    <w:rsid w:val="1BFE1846"/>
    <w:rsid w:val="1C0170F0"/>
    <w:rsid w:val="1C381704"/>
    <w:rsid w:val="1C3A21CC"/>
    <w:rsid w:val="1C7836C6"/>
    <w:rsid w:val="1C8803AC"/>
    <w:rsid w:val="1CB85329"/>
    <w:rsid w:val="1D5A00F1"/>
    <w:rsid w:val="1E117F64"/>
    <w:rsid w:val="1E7E4D14"/>
    <w:rsid w:val="1E9D69C1"/>
    <w:rsid w:val="1F171A10"/>
    <w:rsid w:val="1F48241D"/>
    <w:rsid w:val="1F6045C1"/>
    <w:rsid w:val="1F7F2339"/>
    <w:rsid w:val="1FA34CDA"/>
    <w:rsid w:val="1FDFA7A3"/>
    <w:rsid w:val="1FE55560"/>
    <w:rsid w:val="20677481"/>
    <w:rsid w:val="2142760D"/>
    <w:rsid w:val="21733A6D"/>
    <w:rsid w:val="21E63DAC"/>
    <w:rsid w:val="224A3AD1"/>
    <w:rsid w:val="22565EDB"/>
    <w:rsid w:val="2270457C"/>
    <w:rsid w:val="2297614E"/>
    <w:rsid w:val="22DC2A75"/>
    <w:rsid w:val="22E159D0"/>
    <w:rsid w:val="239E72D0"/>
    <w:rsid w:val="23B1689B"/>
    <w:rsid w:val="23C164F8"/>
    <w:rsid w:val="23DF3C87"/>
    <w:rsid w:val="23E92278"/>
    <w:rsid w:val="2464432F"/>
    <w:rsid w:val="24917315"/>
    <w:rsid w:val="24BC23E6"/>
    <w:rsid w:val="24C9659B"/>
    <w:rsid w:val="24DF150B"/>
    <w:rsid w:val="25143F64"/>
    <w:rsid w:val="258122D6"/>
    <w:rsid w:val="25D7A959"/>
    <w:rsid w:val="25D81B1E"/>
    <w:rsid w:val="26226029"/>
    <w:rsid w:val="2648525A"/>
    <w:rsid w:val="266E5C97"/>
    <w:rsid w:val="268E11D0"/>
    <w:rsid w:val="26CF203B"/>
    <w:rsid w:val="26D364C3"/>
    <w:rsid w:val="27812506"/>
    <w:rsid w:val="27DD327B"/>
    <w:rsid w:val="28322B3C"/>
    <w:rsid w:val="2846729E"/>
    <w:rsid w:val="2865609B"/>
    <w:rsid w:val="28F942EC"/>
    <w:rsid w:val="29001F50"/>
    <w:rsid w:val="2908779C"/>
    <w:rsid w:val="291640F4"/>
    <w:rsid w:val="292A2F9C"/>
    <w:rsid w:val="296F327C"/>
    <w:rsid w:val="299F1E59"/>
    <w:rsid w:val="299F7189"/>
    <w:rsid w:val="2A932366"/>
    <w:rsid w:val="2AAB3A3F"/>
    <w:rsid w:val="2B2A61B1"/>
    <w:rsid w:val="2B394179"/>
    <w:rsid w:val="2B410BF8"/>
    <w:rsid w:val="2B44381F"/>
    <w:rsid w:val="2BAB70C5"/>
    <w:rsid w:val="2C0370C5"/>
    <w:rsid w:val="2C160BEE"/>
    <w:rsid w:val="2C262674"/>
    <w:rsid w:val="2CC203FD"/>
    <w:rsid w:val="2CF20F4C"/>
    <w:rsid w:val="2D0D1776"/>
    <w:rsid w:val="2D3264B5"/>
    <w:rsid w:val="2D8068B4"/>
    <w:rsid w:val="2D974F5D"/>
    <w:rsid w:val="2D9E5CA5"/>
    <w:rsid w:val="2DA01B78"/>
    <w:rsid w:val="2DDF195A"/>
    <w:rsid w:val="2E1C2217"/>
    <w:rsid w:val="2E527597"/>
    <w:rsid w:val="2E6B4F35"/>
    <w:rsid w:val="2ED139E0"/>
    <w:rsid w:val="2EDE440E"/>
    <w:rsid w:val="2EE37886"/>
    <w:rsid w:val="2F01575E"/>
    <w:rsid w:val="2F077E50"/>
    <w:rsid w:val="2F3017FB"/>
    <w:rsid w:val="2F4C7AA6"/>
    <w:rsid w:val="2FA72B1F"/>
    <w:rsid w:val="2FAC5807"/>
    <w:rsid w:val="2FFD1E48"/>
    <w:rsid w:val="303571EF"/>
    <w:rsid w:val="30A905C6"/>
    <w:rsid w:val="30DB358D"/>
    <w:rsid w:val="311B7381"/>
    <w:rsid w:val="316A459E"/>
    <w:rsid w:val="31B754CA"/>
    <w:rsid w:val="31C55B9D"/>
    <w:rsid w:val="31D612D7"/>
    <w:rsid w:val="31D9377A"/>
    <w:rsid w:val="322E41FC"/>
    <w:rsid w:val="324E12BD"/>
    <w:rsid w:val="32535A8B"/>
    <w:rsid w:val="33447956"/>
    <w:rsid w:val="33A309C5"/>
    <w:rsid w:val="33CD0499"/>
    <w:rsid w:val="340B4EF1"/>
    <w:rsid w:val="34380EB8"/>
    <w:rsid w:val="354C677D"/>
    <w:rsid w:val="35C806CA"/>
    <w:rsid w:val="35C82B93"/>
    <w:rsid w:val="35CC240A"/>
    <w:rsid w:val="35FB7A0B"/>
    <w:rsid w:val="360062A6"/>
    <w:rsid w:val="36013D27"/>
    <w:rsid w:val="362A6297"/>
    <w:rsid w:val="36A15E2F"/>
    <w:rsid w:val="3707570F"/>
    <w:rsid w:val="376E1D00"/>
    <w:rsid w:val="37E61BA3"/>
    <w:rsid w:val="37F252FF"/>
    <w:rsid w:val="38057C75"/>
    <w:rsid w:val="38344F41"/>
    <w:rsid w:val="391C71ED"/>
    <w:rsid w:val="396A4A7F"/>
    <w:rsid w:val="3A106724"/>
    <w:rsid w:val="3A6C50F1"/>
    <w:rsid w:val="3A712BA9"/>
    <w:rsid w:val="3ABE2FF6"/>
    <w:rsid w:val="3AFC7952"/>
    <w:rsid w:val="3B6B5A08"/>
    <w:rsid w:val="3C3876DA"/>
    <w:rsid w:val="3C69372C"/>
    <w:rsid w:val="3CB12321"/>
    <w:rsid w:val="3CC7387C"/>
    <w:rsid w:val="3CEE603D"/>
    <w:rsid w:val="3D06102C"/>
    <w:rsid w:val="3D1D6037"/>
    <w:rsid w:val="3D945126"/>
    <w:rsid w:val="3D9B5EAB"/>
    <w:rsid w:val="3DCB426D"/>
    <w:rsid w:val="3DDF174A"/>
    <w:rsid w:val="3DFA5736"/>
    <w:rsid w:val="3E1D265C"/>
    <w:rsid w:val="3E663A06"/>
    <w:rsid w:val="3EBC2A7F"/>
    <w:rsid w:val="3ED675AA"/>
    <w:rsid w:val="3EEB2146"/>
    <w:rsid w:val="3F3228BB"/>
    <w:rsid w:val="3F6E624A"/>
    <w:rsid w:val="3F703131"/>
    <w:rsid w:val="3FA06772"/>
    <w:rsid w:val="3FA5570F"/>
    <w:rsid w:val="3FC76631"/>
    <w:rsid w:val="3FDFC5B9"/>
    <w:rsid w:val="3FFC4BFF"/>
    <w:rsid w:val="404C1573"/>
    <w:rsid w:val="4056719A"/>
    <w:rsid w:val="40767B15"/>
    <w:rsid w:val="40CE13E2"/>
    <w:rsid w:val="41005C3C"/>
    <w:rsid w:val="42084B82"/>
    <w:rsid w:val="43415D6A"/>
    <w:rsid w:val="434D41C8"/>
    <w:rsid w:val="43522A40"/>
    <w:rsid w:val="437B63B4"/>
    <w:rsid w:val="43AA7BCA"/>
    <w:rsid w:val="43B133E8"/>
    <w:rsid w:val="43CA597D"/>
    <w:rsid w:val="43E62920"/>
    <w:rsid w:val="44A05510"/>
    <w:rsid w:val="44BB06D3"/>
    <w:rsid w:val="44E97CAB"/>
    <w:rsid w:val="45EB2FC3"/>
    <w:rsid w:val="461879B9"/>
    <w:rsid w:val="467F5A35"/>
    <w:rsid w:val="469918CA"/>
    <w:rsid w:val="46F9786C"/>
    <w:rsid w:val="479475E7"/>
    <w:rsid w:val="47E82E09"/>
    <w:rsid w:val="48202F63"/>
    <w:rsid w:val="48552138"/>
    <w:rsid w:val="48E464FD"/>
    <w:rsid w:val="48EA0F44"/>
    <w:rsid w:val="48F30C9B"/>
    <w:rsid w:val="491B3F23"/>
    <w:rsid w:val="49BA6EDE"/>
    <w:rsid w:val="49E97679"/>
    <w:rsid w:val="4A670DA7"/>
    <w:rsid w:val="4A8258E7"/>
    <w:rsid w:val="4A83274D"/>
    <w:rsid w:val="4AB95A68"/>
    <w:rsid w:val="4B1D4CA9"/>
    <w:rsid w:val="4B311858"/>
    <w:rsid w:val="4BE877E8"/>
    <w:rsid w:val="4C2B1FFE"/>
    <w:rsid w:val="4CA85C08"/>
    <w:rsid w:val="4CE4500D"/>
    <w:rsid w:val="4CF878D3"/>
    <w:rsid w:val="4D427F85"/>
    <w:rsid w:val="4D53028F"/>
    <w:rsid w:val="4DAB09FB"/>
    <w:rsid w:val="4ECD6DCD"/>
    <w:rsid w:val="4EE74B80"/>
    <w:rsid w:val="4F25609B"/>
    <w:rsid w:val="4F30250E"/>
    <w:rsid w:val="4F9C5928"/>
    <w:rsid w:val="4FC55DB9"/>
    <w:rsid w:val="50EC654F"/>
    <w:rsid w:val="512A76B9"/>
    <w:rsid w:val="5139169F"/>
    <w:rsid w:val="51436F5E"/>
    <w:rsid w:val="51513CF5"/>
    <w:rsid w:val="516F28A2"/>
    <w:rsid w:val="51947AB2"/>
    <w:rsid w:val="52432416"/>
    <w:rsid w:val="52917E77"/>
    <w:rsid w:val="52FA7581"/>
    <w:rsid w:val="53103D47"/>
    <w:rsid w:val="53253A30"/>
    <w:rsid w:val="538C02B4"/>
    <w:rsid w:val="53A14B0C"/>
    <w:rsid w:val="53B87967"/>
    <w:rsid w:val="53CC28C2"/>
    <w:rsid w:val="53E41AB0"/>
    <w:rsid w:val="53E72A34"/>
    <w:rsid w:val="54275A1C"/>
    <w:rsid w:val="54B61E08"/>
    <w:rsid w:val="55125788"/>
    <w:rsid w:val="558B6409"/>
    <w:rsid w:val="55A16F92"/>
    <w:rsid w:val="55CA7665"/>
    <w:rsid w:val="55CB0C47"/>
    <w:rsid w:val="55E25D85"/>
    <w:rsid w:val="55EA7534"/>
    <w:rsid w:val="561F13DA"/>
    <w:rsid w:val="56663D4D"/>
    <w:rsid w:val="56A768D9"/>
    <w:rsid w:val="56E21FA1"/>
    <w:rsid w:val="570B7AB3"/>
    <w:rsid w:val="572F40F3"/>
    <w:rsid w:val="57401681"/>
    <w:rsid w:val="575C0124"/>
    <w:rsid w:val="57702543"/>
    <w:rsid w:val="57C11950"/>
    <w:rsid w:val="57ED6B75"/>
    <w:rsid w:val="57EF73E9"/>
    <w:rsid w:val="57FBF100"/>
    <w:rsid w:val="583416BD"/>
    <w:rsid w:val="5896143A"/>
    <w:rsid w:val="58CB5404"/>
    <w:rsid w:val="58E83DEC"/>
    <w:rsid w:val="592A5922"/>
    <w:rsid w:val="596F06E9"/>
    <w:rsid w:val="59785672"/>
    <w:rsid w:val="59B853BE"/>
    <w:rsid w:val="59BB3A9C"/>
    <w:rsid w:val="59C24B16"/>
    <w:rsid w:val="59C344B6"/>
    <w:rsid w:val="5A4019EB"/>
    <w:rsid w:val="5A7F5FE5"/>
    <w:rsid w:val="5A866D10"/>
    <w:rsid w:val="5AF06328"/>
    <w:rsid w:val="5AFB2552"/>
    <w:rsid w:val="5B432419"/>
    <w:rsid w:val="5BBF4E64"/>
    <w:rsid w:val="5BFE68FD"/>
    <w:rsid w:val="5C054B08"/>
    <w:rsid w:val="5CBC10D0"/>
    <w:rsid w:val="5CEE2982"/>
    <w:rsid w:val="5D4B0B1D"/>
    <w:rsid w:val="5D5C6839"/>
    <w:rsid w:val="5DAD01C8"/>
    <w:rsid w:val="5DB02E2E"/>
    <w:rsid w:val="5DCD5873"/>
    <w:rsid w:val="5DF51265"/>
    <w:rsid w:val="5E4043B5"/>
    <w:rsid w:val="5F3C0611"/>
    <w:rsid w:val="5F81073D"/>
    <w:rsid w:val="5F991667"/>
    <w:rsid w:val="5FB90C74"/>
    <w:rsid w:val="5FBF281C"/>
    <w:rsid w:val="5FD30547"/>
    <w:rsid w:val="5FE257FF"/>
    <w:rsid w:val="5FF96B99"/>
    <w:rsid w:val="60190243"/>
    <w:rsid w:val="60503394"/>
    <w:rsid w:val="60611C23"/>
    <w:rsid w:val="60A752D9"/>
    <w:rsid w:val="60E93019"/>
    <w:rsid w:val="61D76EE6"/>
    <w:rsid w:val="61F12EFC"/>
    <w:rsid w:val="62523DDE"/>
    <w:rsid w:val="62FA482F"/>
    <w:rsid w:val="63080089"/>
    <w:rsid w:val="630F1C12"/>
    <w:rsid w:val="63694204"/>
    <w:rsid w:val="63E92BFA"/>
    <w:rsid w:val="63F48189"/>
    <w:rsid w:val="63FA2E95"/>
    <w:rsid w:val="641D00AF"/>
    <w:rsid w:val="64236257"/>
    <w:rsid w:val="645B2E3C"/>
    <w:rsid w:val="64650FB3"/>
    <w:rsid w:val="649F1643"/>
    <w:rsid w:val="64AA3309"/>
    <w:rsid w:val="64DD3107"/>
    <w:rsid w:val="651272F1"/>
    <w:rsid w:val="651F2627"/>
    <w:rsid w:val="65C6151C"/>
    <w:rsid w:val="65DC1D81"/>
    <w:rsid w:val="663F0B50"/>
    <w:rsid w:val="667B4364"/>
    <w:rsid w:val="66875E79"/>
    <w:rsid w:val="672A3383"/>
    <w:rsid w:val="67302866"/>
    <w:rsid w:val="67AB5EEF"/>
    <w:rsid w:val="67B24B11"/>
    <w:rsid w:val="67BA1938"/>
    <w:rsid w:val="67D27EA0"/>
    <w:rsid w:val="67FB28DD"/>
    <w:rsid w:val="682764E2"/>
    <w:rsid w:val="68AA0DA2"/>
    <w:rsid w:val="68BB41AC"/>
    <w:rsid w:val="68D27805"/>
    <w:rsid w:val="69970A85"/>
    <w:rsid w:val="69A0600E"/>
    <w:rsid w:val="69CD1F15"/>
    <w:rsid w:val="69E3333B"/>
    <w:rsid w:val="69E75DC6"/>
    <w:rsid w:val="69F92178"/>
    <w:rsid w:val="6A5251F1"/>
    <w:rsid w:val="6AF705A4"/>
    <w:rsid w:val="6B1B755D"/>
    <w:rsid w:val="6B754613"/>
    <w:rsid w:val="6B872D64"/>
    <w:rsid w:val="6BD12932"/>
    <w:rsid w:val="6BF419AB"/>
    <w:rsid w:val="6C263534"/>
    <w:rsid w:val="6C31284A"/>
    <w:rsid w:val="6C465CDC"/>
    <w:rsid w:val="6C5B2654"/>
    <w:rsid w:val="6CFFFB08"/>
    <w:rsid w:val="6D010E1A"/>
    <w:rsid w:val="6D2257ED"/>
    <w:rsid w:val="6D36447E"/>
    <w:rsid w:val="6D3909BE"/>
    <w:rsid w:val="6D3D3ECC"/>
    <w:rsid w:val="6D7922F8"/>
    <w:rsid w:val="6D7A17BB"/>
    <w:rsid w:val="6D93709C"/>
    <w:rsid w:val="6E2B5D43"/>
    <w:rsid w:val="6E2E3854"/>
    <w:rsid w:val="6EC12F19"/>
    <w:rsid w:val="6EFC72DC"/>
    <w:rsid w:val="6F1A6832"/>
    <w:rsid w:val="6F1B01CC"/>
    <w:rsid w:val="6FBB052D"/>
    <w:rsid w:val="6FDBD4FF"/>
    <w:rsid w:val="6FF721B2"/>
    <w:rsid w:val="70030E51"/>
    <w:rsid w:val="700E2A65"/>
    <w:rsid w:val="705754EC"/>
    <w:rsid w:val="7069325A"/>
    <w:rsid w:val="70702D1C"/>
    <w:rsid w:val="70E02062"/>
    <w:rsid w:val="710010F4"/>
    <w:rsid w:val="711F05BB"/>
    <w:rsid w:val="712B14CE"/>
    <w:rsid w:val="71614C22"/>
    <w:rsid w:val="71631136"/>
    <w:rsid w:val="71967069"/>
    <w:rsid w:val="719D6567"/>
    <w:rsid w:val="71A03500"/>
    <w:rsid w:val="71A208FD"/>
    <w:rsid w:val="71A37E92"/>
    <w:rsid w:val="71A764B7"/>
    <w:rsid w:val="71CE5D5B"/>
    <w:rsid w:val="71DF02B6"/>
    <w:rsid w:val="72424FE7"/>
    <w:rsid w:val="724B7DD7"/>
    <w:rsid w:val="726D3849"/>
    <w:rsid w:val="72844EEB"/>
    <w:rsid w:val="72AA36AE"/>
    <w:rsid w:val="7333450C"/>
    <w:rsid w:val="73974230"/>
    <w:rsid w:val="73BF00E7"/>
    <w:rsid w:val="73BF20E0"/>
    <w:rsid w:val="73D919B7"/>
    <w:rsid w:val="73DC14A1"/>
    <w:rsid w:val="73DC1C29"/>
    <w:rsid w:val="73EA436C"/>
    <w:rsid w:val="741B5902"/>
    <w:rsid w:val="74C62D67"/>
    <w:rsid w:val="74D137F8"/>
    <w:rsid w:val="74FB70D0"/>
    <w:rsid w:val="75180EA9"/>
    <w:rsid w:val="754F7F8B"/>
    <w:rsid w:val="7570010F"/>
    <w:rsid w:val="759440E4"/>
    <w:rsid w:val="759F4605"/>
    <w:rsid w:val="75D536F4"/>
    <w:rsid w:val="76240335"/>
    <w:rsid w:val="768F5592"/>
    <w:rsid w:val="76AD0F38"/>
    <w:rsid w:val="76AF37A6"/>
    <w:rsid w:val="76E13D18"/>
    <w:rsid w:val="774D0906"/>
    <w:rsid w:val="77581FD0"/>
    <w:rsid w:val="77D82FAB"/>
    <w:rsid w:val="77EE2E0E"/>
    <w:rsid w:val="78234083"/>
    <w:rsid w:val="789B27F6"/>
    <w:rsid w:val="78A74528"/>
    <w:rsid w:val="78E37919"/>
    <w:rsid w:val="78F276F3"/>
    <w:rsid w:val="7918401D"/>
    <w:rsid w:val="7923774A"/>
    <w:rsid w:val="796518B1"/>
    <w:rsid w:val="79FF5C1A"/>
    <w:rsid w:val="7A4E7237"/>
    <w:rsid w:val="7A8F5AA2"/>
    <w:rsid w:val="7AC04858"/>
    <w:rsid w:val="7AD7751A"/>
    <w:rsid w:val="7ADC0A81"/>
    <w:rsid w:val="7AEB769F"/>
    <w:rsid w:val="7AF835D9"/>
    <w:rsid w:val="7B3B4769"/>
    <w:rsid w:val="7B537DC1"/>
    <w:rsid w:val="7B5615C8"/>
    <w:rsid w:val="7B567A6A"/>
    <w:rsid w:val="7B79393F"/>
    <w:rsid w:val="7B8309EE"/>
    <w:rsid w:val="7BCB2A82"/>
    <w:rsid w:val="7BD607F9"/>
    <w:rsid w:val="7BED0B74"/>
    <w:rsid w:val="7BFFF711"/>
    <w:rsid w:val="7CD77E95"/>
    <w:rsid w:val="7CDF36FE"/>
    <w:rsid w:val="7CF04A10"/>
    <w:rsid w:val="7D2F3A6C"/>
    <w:rsid w:val="7D6FF647"/>
    <w:rsid w:val="7D7D4698"/>
    <w:rsid w:val="7D954E62"/>
    <w:rsid w:val="7DA84C19"/>
    <w:rsid w:val="7DC42FF9"/>
    <w:rsid w:val="7DFEDD73"/>
    <w:rsid w:val="7DFF072B"/>
    <w:rsid w:val="7DFF1D4B"/>
    <w:rsid w:val="7E510049"/>
    <w:rsid w:val="7E595AB3"/>
    <w:rsid w:val="7E7F0CE5"/>
    <w:rsid w:val="7E806DB8"/>
    <w:rsid w:val="7E8B75AC"/>
    <w:rsid w:val="7EFE4419"/>
    <w:rsid w:val="7EFFFEB2"/>
    <w:rsid w:val="7F4FA564"/>
    <w:rsid w:val="7F658091"/>
    <w:rsid w:val="7F6C12E7"/>
    <w:rsid w:val="7F7306DC"/>
    <w:rsid w:val="7F7A2CC0"/>
    <w:rsid w:val="7F7F2658"/>
    <w:rsid w:val="7F8873B2"/>
    <w:rsid w:val="7FB06ADB"/>
    <w:rsid w:val="7FCA46B5"/>
    <w:rsid w:val="7FEFF888"/>
    <w:rsid w:val="7FF4BBE4"/>
    <w:rsid w:val="7FF76878"/>
    <w:rsid w:val="8E73187D"/>
    <w:rsid w:val="AB3767B8"/>
    <w:rsid w:val="B3EF9B64"/>
    <w:rsid w:val="B3F7B390"/>
    <w:rsid w:val="BE7D0AC1"/>
    <w:rsid w:val="BF7FA4CA"/>
    <w:rsid w:val="CEFA7523"/>
    <w:rsid w:val="D6F7823B"/>
    <w:rsid w:val="D77FBF0B"/>
    <w:rsid w:val="D7973EB8"/>
    <w:rsid w:val="D95CF13A"/>
    <w:rsid w:val="DB9E9447"/>
    <w:rsid w:val="DBFF38EE"/>
    <w:rsid w:val="DF7B528C"/>
    <w:rsid w:val="DF7F0215"/>
    <w:rsid w:val="DFDB08D2"/>
    <w:rsid w:val="DFDDB9B1"/>
    <w:rsid w:val="DFED567C"/>
    <w:rsid w:val="DFFB5BFD"/>
    <w:rsid w:val="DFFF3539"/>
    <w:rsid w:val="E2FD23E2"/>
    <w:rsid w:val="ED55DB56"/>
    <w:rsid w:val="EF7FF59C"/>
    <w:rsid w:val="F3FF96D8"/>
    <w:rsid w:val="F6FD7626"/>
    <w:rsid w:val="F7FB9E88"/>
    <w:rsid w:val="FBFFDD18"/>
    <w:rsid w:val="FC7FF135"/>
    <w:rsid w:val="FDFFE9A3"/>
    <w:rsid w:val="FE776ECA"/>
    <w:rsid w:val="FE7D82D5"/>
    <w:rsid w:val="FECF9027"/>
    <w:rsid w:val="FEDF1E99"/>
    <w:rsid w:val="FEFE1BFF"/>
    <w:rsid w:val="FF2BDF49"/>
    <w:rsid w:val="FF6C7958"/>
    <w:rsid w:val="FF745797"/>
    <w:rsid w:val="FFFB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cs="Calibri"/>
      <w:b/>
      <w:bCs/>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6"/>
    <w:basedOn w:val="1"/>
    <w:next w:val="1"/>
    <w:unhideWhenUsed/>
    <w:qFormat/>
    <w:uiPriority w:val="0"/>
    <w:pPr>
      <w:keepNext/>
      <w:keepLines/>
      <w:spacing w:line="317" w:lineRule="auto"/>
      <w:outlineLvl w:val="5"/>
    </w:pPr>
    <w:rPr>
      <w:rFonts w:ascii="Arial" w:hAnsi="Arial" w:eastAsia="黑体" w:cs="黑体"/>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next w:val="7"/>
    <w:qFormat/>
    <w:uiPriority w:val="0"/>
    <w:pPr>
      <w:ind w:firstLine="420"/>
    </w:pPr>
    <w:rPr>
      <w:rFonts w:ascii="Times New Roman" w:hAnsi="Times New Roman" w:eastAsia="宋体" w:cs="Calibri"/>
      <w:szCs w:val="20"/>
    </w:rPr>
  </w:style>
  <w:style w:type="paragraph" w:styleId="7">
    <w:name w:val="Body Text Indent"/>
    <w:basedOn w:val="1"/>
    <w:qFormat/>
    <w:uiPriority w:val="0"/>
    <w:pPr>
      <w:spacing w:after="120"/>
      <w:ind w:left="420" w:leftChars="200"/>
    </w:pPr>
  </w:style>
  <w:style w:type="paragraph" w:styleId="8">
    <w:name w:val="annotation text"/>
    <w:basedOn w:val="1"/>
    <w:qFormat/>
    <w:uiPriority w:val="0"/>
    <w:pPr>
      <w:jc w:val="left"/>
    </w:pPr>
    <w:rPr>
      <w:rFonts w:ascii="Calibri" w:hAnsi="Calibri" w:eastAsia="宋体" w:cs="Calibri"/>
      <w:szCs w:val="21"/>
    </w:rPr>
  </w:style>
  <w:style w:type="paragraph" w:styleId="9">
    <w:name w:val="Plain Text"/>
    <w:basedOn w:val="1"/>
    <w:next w:val="1"/>
    <w:qFormat/>
    <w:uiPriority w:val="0"/>
    <w:rPr>
      <w:rFonts w:ascii="宋体" w:hAnsi="Courier New" w:cs="黑体"/>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tabs>
        <w:tab w:val="right" w:leader="dot" w:pos="9231"/>
      </w:tabs>
      <w:spacing w:line="340" w:lineRule="exact"/>
    </w:pPr>
    <w:rPr>
      <w:rFonts w:ascii="宋体" w:hAnsi="宋体"/>
      <w:color w:val="000000"/>
      <w:w w:val="90"/>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qFormat/>
    <w:uiPriority w:val="0"/>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2">
    <w:name w:val="正文（缩进）"/>
    <w:basedOn w:val="1"/>
    <w:qFormat/>
    <w:uiPriority w:val="0"/>
    <w:pPr>
      <w:spacing w:beforeLines="50" w:afterLines="50" w:line="360" w:lineRule="auto"/>
      <w:ind w:firstLine="480" w:firstLineChars="200"/>
    </w:pPr>
  </w:style>
  <w:style w:type="paragraph" w:styleId="23">
    <w:name w:val="List Paragraph"/>
    <w:basedOn w:val="1"/>
    <w:qFormat/>
    <w:uiPriority w:val="99"/>
    <w:pPr>
      <w:spacing w:after="160" w:line="259" w:lineRule="auto"/>
      <w:ind w:left="720"/>
      <w:contextualSpacing/>
    </w:pPr>
  </w:style>
  <w:style w:type="character" w:customStyle="1" w:styleId="24">
    <w:name w:val="NormalCharacter"/>
    <w:link w:val="25"/>
    <w:qFormat/>
    <w:uiPriority w:val="0"/>
  </w:style>
  <w:style w:type="paragraph" w:customStyle="1" w:styleId="25">
    <w:name w:val="UserStyle_16"/>
    <w:basedOn w:val="1"/>
    <w:link w:val="24"/>
    <w:qFormat/>
    <w:uiPriority w:val="0"/>
    <w:pPr>
      <w:spacing w:line="360" w:lineRule="auto"/>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3760</Words>
  <Characters>3927</Characters>
  <Lines>123</Lines>
  <Paragraphs>34</Paragraphs>
  <TotalTime>14</TotalTime>
  <ScaleCrop>false</ScaleCrop>
  <LinksUpToDate>false</LinksUpToDate>
  <CharactersWithSpaces>3975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2023-01-03T17:48:00Z</dcterms:created>
  <dc:creator>ZGCCPY</dc:creator>
  <cp:lastModifiedBy>Administrator</cp:lastModifiedBy>
  <cp:lastPrinted>2025-08-13T03:12:00Z</cp:lastPrinted>
  <dcterms:modified xsi:type="dcterms:W3CDTF">2025-09-04T02:22:58Z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09FBDAC8295F458892BDE718D3FDBC19_13</vt:lpwstr>
  </property>
  <property fmtid="{D5CDD505-2E9C-101B-9397-08002B2CF9AE}" pid="4" name="KSOTemplateDocerSaveRecord">
    <vt:lpwstr>eyJoZGlkIjoiOGRlNmQ2NDBlYTk4ZmU5NTM2NTJjOTZhMjAwMmM3NDMiLCJ1c2VySWQiOiIxNTY4NTY3NTY2In0=</vt:lpwstr>
  </property>
</Properties>
</file>