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2ADBF">
      <w:pPr>
        <w:spacing w:line="600" w:lineRule="exact"/>
        <w:ind w:firstLine="0" w:firstLineChars="0"/>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2</w:t>
      </w:r>
      <w:bookmarkStart w:id="0" w:name="_GoBack"/>
      <w:bookmarkEnd w:id="0"/>
    </w:p>
    <w:p w14:paraId="5E3817E7">
      <w:pPr>
        <w:adjustRightInd/>
        <w:snapToGrid/>
        <w:spacing w:after="0" w:afterLines="-2147483648" w:line="600" w:lineRule="exact"/>
        <w:ind w:firstLine="0" w:firstLineChars="0"/>
        <w:jc w:val="center"/>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关于对《关于支持北京城市副中心数据产业</w:t>
      </w:r>
    </w:p>
    <w:p w14:paraId="5286BEB2">
      <w:pPr>
        <w:adjustRightInd/>
        <w:snapToGrid/>
        <w:spacing w:after="0" w:afterLines="-2147483648" w:line="600" w:lineRule="exact"/>
        <w:ind w:firstLine="0" w:firstLineChars="0"/>
        <w:jc w:val="center"/>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高质量发展的实施细则（征求意见稿）》的起草说明</w:t>
      </w:r>
    </w:p>
    <w:p w14:paraId="0135CB5B"/>
    <w:p w14:paraId="056E95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pPr>
      <w:r>
        <w:rPr>
          <w:rFonts w:hint="eastAsia" w:ascii="黑体" w:hAnsi="黑体" w:eastAsia="黑体" w:cs="黑体"/>
          <w:szCs w:val="32"/>
        </w:rPr>
        <w:t>一、起草背景</w:t>
      </w:r>
    </w:p>
    <w:p w14:paraId="7BA806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pP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为深入贯彻《中共北京市委 北京市人民政府关于更好发挥数据要素作用进一步加快发展数字经济的实施意见》等文件精神</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更好地发挥数据要素作用，促进数据产业高质量发展，强化数据产业对重点领域的协同支撑，</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通州</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区</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经济和信息化</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局结合</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我区</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实际，聚焦数据产业发展新阶段、新需求，研究</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起草</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了《关于支持北京城市副中心数据产业高质量发展的实施细则（征求意见稿）》</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p>
    <w:p w14:paraId="0F06B90E">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、主要内容</w:t>
      </w:r>
    </w:p>
    <w:p w14:paraId="504239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pP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政</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策内容共十条，围绕</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经营主体集聚壮大为首要、数字基础设施为先导、数据全链条贯通为核心、产业生态打造为支撑</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的逻辑框架展开，各板块相互衔接、层层递进，共同构建通州区数据产业高质量发展政策体系。</w:t>
      </w:r>
    </w:p>
    <w:p w14:paraId="7FDD09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pP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一是以经营主体集聚壮大为首要，夯实产业发展根基。该板块依托央国企资源优势，加快数据市场主体引育。二是以技术和基础设施为先导，筑牢产业发展底座。板块聚焦数据产业发展的</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硬支撑</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与</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技术引擎</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，通过完善基础设施、搭建创新平台、突破关键技术，为产业发展奠定基础。三是以数据全链条贯通为核心，完善产业发展体系。该板块围绕</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数据资源</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数据技术</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数据存算</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数据服务</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数据应用</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数据安全</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全链条，补短板、强核心、促贯通。四是以产业生态打造为保障，优化产业发展环境。该板块通过融资创新、产业集聚区建设、产业服务等方式，构建协同、交流、共享的产业生态，为首要、先导、核心板块提供支撑。</w:t>
      </w:r>
    </w:p>
    <w:p w14:paraId="59CE15D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noto sans thai">
    <w:panose1 w:val="020B0502040504020204"/>
    <w:charset w:val="00"/>
    <w:family w:val="auto"/>
    <w:pitch w:val="default"/>
    <w:sig w:usb0="81000063" w:usb1="00002000" w:usb2="00000000" w:usb3="00000000" w:csb0="0001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F3B6B"/>
    <w:rsid w:val="5BFF3B6B"/>
    <w:rsid w:val="6F6C1AEC"/>
    <w:rsid w:val="75EF41DF"/>
    <w:rsid w:val="75FF69F0"/>
    <w:rsid w:val="7DF157CA"/>
    <w:rsid w:val="D37F3783"/>
    <w:rsid w:val="F3FFC394"/>
    <w:rsid w:val="FDDE913B"/>
    <w:rsid w:val="FE5B8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2025-09-02T15:28:00Z</dcterms:created>
  <dc:creator>Disney1985</dc:creator>
  <cp:lastModifiedBy>Disney1985</cp:lastModifiedBy>
  <cp:lastPrinted>2025-09-02T17:31:49Z</cp:lastPrinted>
  <dcterms:modified xsi:type="dcterms:W3CDTF">2025-09-02T17:49:12Z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046E20AB8F35A3D2979CB668894765E9_41</vt:lpwstr>
  </property>
</Properties>
</file>