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 w:cs="宋体"/>
          <w:b w:val="0"/>
          <w:bCs/>
          <w:color w:val="auto"/>
          <w:kern w:val="0"/>
          <w:sz w:val="44"/>
          <w:szCs w:val="40"/>
          <w:lang w:eastAsia="zh-CN"/>
        </w:rPr>
      </w:pPr>
      <w:bookmarkStart w:id="0" w:name="_Toc298549691_WPSOffice_Level1"/>
      <w:bookmarkStart w:id="1" w:name="_Toc1795662254_WPSOffice_Level2"/>
      <w:bookmarkStart w:id="2" w:name="_Toc1508180652_WPSOffice_Level2"/>
      <w:bookmarkStart w:id="3" w:name="_Toc1860282605_WPSOffice_Level2"/>
      <w:r>
        <w:rPr>
          <w:rFonts w:hint="eastAsia" w:ascii="方正小标宋简体" w:hAnsi="宋体" w:eastAsia="方正小标宋简体" w:cs="宋体"/>
          <w:b w:val="0"/>
          <w:bCs/>
          <w:color w:val="auto"/>
          <w:kern w:val="0"/>
          <w:sz w:val="44"/>
          <w:szCs w:val="40"/>
          <w:lang w:eastAsia="zh-CN"/>
        </w:rPr>
        <w:t>关于</w:t>
      </w:r>
      <w:bookmarkStart w:id="4" w:name="_GoBack"/>
      <w:bookmarkEnd w:id="4"/>
      <w:r>
        <w:rPr>
          <w:rFonts w:hint="eastAsia" w:ascii="方正小标宋简体" w:hAnsi="宋体" w:eastAsia="方正小标宋简体" w:cs="宋体"/>
          <w:b w:val="0"/>
          <w:bCs/>
          <w:color w:val="auto"/>
          <w:kern w:val="0"/>
          <w:sz w:val="44"/>
          <w:szCs w:val="40"/>
          <w:lang w:eastAsia="zh-CN"/>
        </w:rPr>
        <w:t>《房山区促进软件信息与科技服务业高质量发展专项支持政策</w:t>
      </w:r>
      <w:r>
        <w:rPr>
          <w:rFonts w:hint="eastAsia" w:ascii="方正小标宋简体" w:hAnsi="宋体" w:eastAsia="方正小标宋简体" w:cs="宋体"/>
          <w:b w:val="0"/>
          <w:bCs/>
          <w:color w:val="auto"/>
          <w:kern w:val="0"/>
          <w:sz w:val="44"/>
          <w:szCs w:val="40"/>
          <w:lang w:val="en-US" w:eastAsia="zh-CN"/>
        </w:rPr>
        <w:t>(征求意见稿)</w:t>
      </w:r>
      <w:r>
        <w:rPr>
          <w:rFonts w:hint="eastAsia" w:ascii="方正小标宋简体" w:hAnsi="宋体" w:eastAsia="方正小标宋简体" w:cs="宋体"/>
          <w:b w:val="0"/>
          <w:bCs/>
          <w:color w:val="auto"/>
          <w:kern w:val="0"/>
          <w:sz w:val="44"/>
          <w:szCs w:val="40"/>
          <w:lang w:eastAsia="zh-CN"/>
        </w:rPr>
        <w:t>》的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 w:cs="宋体"/>
          <w:b w:val="0"/>
          <w:bCs/>
          <w:color w:val="auto"/>
          <w:kern w:val="0"/>
          <w:sz w:val="44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b w:val="0"/>
          <w:bCs/>
          <w:color w:val="auto"/>
          <w:kern w:val="0"/>
          <w:sz w:val="44"/>
          <w:szCs w:val="40"/>
          <w:lang w:eastAsia="zh-CN"/>
        </w:rPr>
        <w:t>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 w:cs="宋体"/>
          <w:b w:val="0"/>
          <w:bCs/>
          <w:color w:val="auto"/>
          <w:kern w:val="0"/>
          <w:sz w:val="44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b w:val="0"/>
          <w:bCs/>
          <w:color w:val="auto"/>
          <w:kern w:val="0"/>
          <w:sz w:val="44"/>
          <w:szCs w:val="40"/>
          <w:lang w:eastAsia="zh-CN"/>
        </w:rPr>
        <w:t>‌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720" w:firstLineChars="200"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‌一、起草背景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720" w:firstLineChars="200"/>
        <w:jc w:val="left"/>
        <w:textAlignment w:val="auto"/>
        <w:rPr>
          <w:rFonts w:hint="eastAsia" w:eastAsia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36"/>
          <w:szCs w:val="36"/>
          <w:lang w:bidi="ar"/>
        </w:rPr>
        <w:t>为深入贯彻党的二十大</w:t>
      </w:r>
      <w:r>
        <w:rPr>
          <w:rFonts w:hint="eastAsia" w:ascii="仿宋_GB2312" w:hAnsi="宋体" w:eastAsia="仿宋_GB2312" w:cs="仿宋_GB2312"/>
          <w:color w:val="000000"/>
          <w:sz w:val="36"/>
          <w:szCs w:val="36"/>
          <w:lang w:eastAsia="zh-CN" w:bidi="ar"/>
        </w:rPr>
        <w:t>关于</w:t>
      </w:r>
      <w:r>
        <w:rPr>
          <w:rFonts w:hint="eastAsia" w:ascii="仿宋_GB2312" w:hAnsi="宋体" w:eastAsia="仿宋_GB2312" w:cs="仿宋_GB2312"/>
          <w:color w:val="000000"/>
          <w:sz w:val="36"/>
          <w:szCs w:val="36"/>
          <w:lang w:bidi="ar"/>
        </w:rPr>
        <w:t>“加快发展新质生产力”及国家“以数字化引领产业变革”的战略部署，立</w:t>
      </w:r>
      <w:r>
        <w:rPr>
          <w:rFonts w:hint="eastAsia" w:ascii="仿宋_GB2312" w:hAnsi="宋体" w:eastAsia="仿宋_GB2312" w:cs="仿宋_GB2312"/>
          <w:color w:val="000000"/>
          <w:sz w:val="36"/>
          <w:szCs w:val="36"/>
          <w:highlight w:val="none"/>
          <w:lang w:bidi="ar"/>
        </w:rPr>
        <w:t>足</w:t>
      </w:r>
      <w:r>
        <w:rPr>
          <w:rFonts w:hint="eastAsia" w:ascii="仿宋_GB2312" w:hAnsi="宋体" w:eastAsia="仿宋_GB2312" w:cs="仿宋_GB2312"/>
          <w:color w:val="000000"/>
          <w:sz w:val="36"/>
          <w:szCs w:val="36"/>
          <w:highlight w:val="none"/>
          <w:lang w:eastAsia="zh-CN" w:bidi="ar"/>
        </w:rPr>
        <w:t>软件信息</w:t>
      </w:r>
      <w:r>
        <w:rPr>
          <w:rFonts w:hint="eastAsia" w:ascii="仿宋_GB2312" w:hAnsi="宋体" w:eastAsia="仿宋_GB2312" w:cs="仿宋_GB2312"/>
          <w:color w:val="000000"/>
          <w:sz w:val="36"/>
          <w:szCs w:val="36"/>
          <w:highlight w:val="none"/>
          <w:lang w:bidi="ar"/>
        </w:rPr>
        <w:t>与</w:t>
      </w:r>
      <w:r>
        <w:rPr>
          <w:rFonts w:hint="eastAsia" w:ascii="仿宋_GB2312" w:hAnsi="宋体" w:eastAsia="仿宋_GB2312" w:cs="仿宋_GB2312"/>
          <w:color w:val="000000"/>
          <w:sz w:val="36"/>
          <w:szCs w:val="36"/>
          <w:lang w:bidi="ar"/>
        </w:rPr>
        <w:t>科技服务业技术密集、创新驱动、生态协同的核心特点，紧扣房山区产业升级与集群发展需求，</w:t>
      </w:r>
      <w:r>
        <w:rPr>
          <w:rFonts w:hint="eastAsia" w:ascii="仿宋_GB2312" w:hAnsi="宋体" w:eastAsia="仿宋_GB2312" w:cs="仿宋_GB2312"/>
          <w:color w:val="000000"/>
          <w:sz w:val="36"/>
          <w:szCs w:val="36"/>
          <w:lang w:eastAsia="zh-CN" w:bidi="ar"/>
        </w:rPr>
        <w:t>特制定</w:t>
      </w:r>
      <w:r>
        <w:rPr>
          <w:rFonts w:hint="eastAsia" w:ascii="仿宋_GB2312" w:hAnsi="宋体" w:eastAsia="仿宋_GB2312" w:cs="仿宋_GB2312"/>
          <w:color w:val="000000"/>
          <w:sz w:val="36"/>
          <w:szCs w:val="36"/>
          <w:lang w:val="en-US" w:eastAsia="zh-CN" w:bidi="ar"/>
        </w:rPr>
        <w:t>《房山区促进软件信息与科技服务业高质量发展专项支持政策</w:t>
      </w:r>
      <w:r>
        <w:rPr>
          <w:rFonts w:hint="eastAsia" w:ascii="仿宋_GB2312" w:hAnsi="宋体" w:eastAsia="仿宋_GB2312" w:cs="仿宋_GB2312"/>
          <w:color w:val="000000"/>
          <w:sz w:val="36"/>
          <w:szCs w:val="36"/>
          <w:lang w:eastAsia="zh-CN" w:bidi="ar"/>
        </w:rPr>
        <w:t>（征求意见稿）》（简称“专项支持政策”），</w:t>
      </w:r>
      <w:r>
        <w:rPr>
          <w:rFonts w:hint="eastAsia" w:ascii="仿宋_GB2312" w:hAnsi="宋体" w:eastAsia="仿宋_GB2312" w:cs="仿宋_GB2312"/>
          <w:color w:val="000000"/>
          <w:sz w:val="36"/>
          <w:szCs w:val="36"/>
          <w:lang w:bidi="ar"/>
        </w:rPr>
        <w:t>作为</w:t>
      </w:r>
      <w:r>
        <w:rPr>
          <w:rFonts w:hint="eastAsia" w:ascii="仿宋_GB2312" w:hAnsi="宋体" w:eastAsia="仿宋_GB2312" w:cs="仿宋_GB2312"/>
          <w:strike w:val="0"/>
          <w:dstrike w:val="0"/>
          <w:color w:val="000000"/>
          <w:sz w:val="36"/>
          <w:szCs w:val="36"/>
          <w:lang w:eastAsia="zh-CN" w:bidi="ar"/>
        </w:rPr>
        <w:t>“</w:t>
      </w:r>
      <w:r>
        <w:rPr>
          <w:rFonts w:hint="eastAsia" w:ascii="仿宋_GB2312" w:hAnsi="宋体" w:eastAsia="仿宋_GB2312" w:cs="仿宋_GB2312"/>
          <w:strike w:val="0"/>
          <w:dstrike w:val="0"/>
          <w:color w:val="000000"/>
          <w:sz w:val="36"/>
          <w:szCs w:val="36"/>
          <w:lang w:val="en-US" w:eastAsia="zh-CN" w:bidi="ar"/>
        </w:rPr>
        <w:t>房七条</w:t>
      </w:r>
      <w:r>
        <w:rPr>
          <w:rFonts w:hint="eastAsia" w:ascii="仿宋_GB2312" w:hAnsi="宋体" w:eastAsia="仿宋_GB2312" w:cs="仿宋_GB2312"/>
          <w:strike w:val="0"/>
          <w:dstrike w:val="0"/>
          <w:color w:val="000000"/>
          <w:sz w:val="36"/>
          <w:szCs w:val="36"/>
          <w:lang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sz w:val="36"/>
          <w:szCs w:val="36"/>
          <w:lang w:bidi="ar"/>
        </w:rPr>
        <w:t>的补充条款</w:t>
      </w:r>
      <w:r>
        <w:rPr>
          <w:rFonts w:hint="eastAsia" w:ascii="仿宋_GB2312" w:hAnsi="宋体" w:eastAsia="仿宋_GB2312" w:cs="仿宋_GB2312"/>
          <w:color w:val="000000"/>
          <w:sz w:val="36"/>
          <w:szCs w:val="36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720" w:firstLineChars="200"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二、总体考虑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7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sz w:val="36"/>
          <w:szCs w:val="36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sz w:val="36"/>
          <w:szCs w:val="36"/>
          <w:lang w:val="en-US" w:eastAsia="zh-CN" w:bidi="ar"/>
        </w:rPr>
        <w:t>紧扣公平竞争。严格依据《公平竞争审查条例》，以政策引导强化科技创新对产业发展的核心驱动，杜绝不正当竞争，营造公平有序的市场环境。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7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sz w:val="36"/>
          <w:szCs w:val="36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sz w:val="36"/>
          <w:szCs w:val="36"/>
          <w:lang w:val="en-US" w:eastAsia="zh-CN" w:bidi="ar"/>
        </w:rPr>
        <w:t>紧抓适配产业特点。立足软件信息与科技服务业“技术迭代快、发展动能强”的特性，精准锚定前沿技术突破、创新研发体系构建等方向，实现与市级政策的无缝衔接和精准承接。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7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sz w:val="36"/>
          <w:szCs w:val="36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sz w:val="36"/>
          <w:szCs w:val="36"/>
          <w:lang w:val="en-US" w:eastAsia="zh-CN" w:bidi="ar"/>
        </w:rPr>
        <w:t>着力推动集群升级。通过政策激励引导企业、资源、功能加速集聚，培育特色产业集群，实现产业规模与发展质量双提升，增强区域产业竞争力。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720" w:firstLineChars="200"/>
        <w:textAlignment w:val="auto"/>
        <w:outlineLvl w:val="0"/>
        <w:rPr>
          <w:rFonts w:hint="eastAsia" w:ascii="Times New Roman" w:hAnsi="Times New Roman" w:eastAsia="黑体"/>
          <w:sz w:val="36"/>
          <w:szCs w:val="36"/>
          <w:lang w:eastAsia="zh-CN"/>
        </w:rPr>
      </w:pPr>
      <w:r>
        <w:rPr>
          <w:rFonts w:hint="eastAsia" w:ascii="Times New Roman" w:hAnsi="Times New Roman" w:eastAsia="黑体"/>
          <w:sz w:val="36"/>
          <w:szCs w:val="36"/>
          <w:lang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788" w:firstLineChars="200"/>
        <w:textAlignment w:val="auto"/>
        <w:rPr>
          <w:rFonts w:hint="eastAsia" w:ascii="仿宋_GB2312" w:hAnsi="仿宋_GB2312" w:eastAsia="仿宋_GB2312" w:cs="仿宋_GB2312"/>
          <w:spacing w:val="17"/>
          <w:kern w:val="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kern w:val="2"/>
          <w:sz w:val="36"/>
          <w:szCs w:val="36"/>
          <w:lang w:val="en-US" w:eastAsia="zh-CN"/>
        </w:rPr>
        <w:t>政策共设四章，分别为总则、使用对象和申报条件、扶持奖励措施、附则，各章节重点如下：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788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6"/>
          <w:szCs w:val="36"/>
        </w:rPr>
      </w:pPr>
      <w:r>
        <w:rPr>
          <w:rFonts w:hint="eastAsia" w:ascii="楷体_GB2312" w:hAnsi="楷体_GB2312" w:eastAsia="楷体_GB2312" w:cs="楷体_GB2312"/>
          <w:spacing w:val="17"/>
          <w:kern w:val="2"/>
          <w:sz w:val="36"/>
          <w:szCs w:val="36"/>
          <w:lang w:val="en-US" w:eastAsia="zh-CN"/>
        </w:rPr>
        <w:t>（一）总则。</w:t>
      </w:r>
      <w:r>
        <w:rPr>
          <w:rFonts w:hint="eastAsia" w:ascii="仿宋_GB2312" w:hAnsi="仿宋_GB2312" w:eastAsia="仿宋_GB2312" w:cs="仿宋_GB2312"/>
          <w:spacing w:val="17"/>
          <w:kern w:val="2"/>
          <w:sz w:val="36"/>
          <w:szCs w:val="36"/>
          <w:lang w:val="en-US" w:eastAsia="zh-CN"/>
        </w:rPr>
        <w:t>明确政策制定的指导思想、总体目标和适用范围，以推动软件信息与科技服务业高质量发展为核心，紧扣国家及市级战略部署，结合房山区产业实际，界定政策适用的产业领域和空间范围。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788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6"/>
          <w:szCs w:val="36"/>
        </w:rPr>
      </w:pPr>
      <w:r>
        <w:rPr>
          <w:rFonts w:hint="eastAsia" w:ascii="楷体_GB2312" w:hAnsi="楷体_GB2312" w:eastAsia="楷体_GB2312" w:cs="楷体_GB2312"/>
          <w:spacing w:val="17"/>
          <w:kern w:val="2"/>
          <w:sz w:val="36"/>
          <w:szCs w:val="36"/>
          <w:lang w:val="en-US" w:eastAsia="zh-CN"/>
        </w:rPr>
        <w:t>（二）使用对象和申报条件。</w:t>
      </w:r>
      <w:r>
        <w:rPr>
          <w:rFonts w:hint="eastAsia" w:ascii="仿宋_GB2312" w:hAnsi="仿宋_GB2312" w:eastAsia="仿宋_GB2312" w:cs="仿宋_GB2312"/>
          <w:spacing w:val="17"/>
          <w:kern w:val="2"/>
          <w:sz w:val="36"/>
          <w:szCs w:val="36"/>
          <w:lang w:val="en-US" w:eastAsia="zh-CN"/>
        </w:rPr>
        <w:t>明确政策支持的企业或机构类型（如在房山区注册、纳税的软件信息服务企业、科技服务企业等），以及申报企业需满足的基本条件（如经营状况良好、无违法违规记录、符合产业发展方向等），确保政策精准惠及目标市场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788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6"/>
          <w:szCs w:val="36"/>
        </w:rPr>
      </w:pPr>
      <w:r>
        <w:rPr>
          <w:rFonts w:hint="eastAsia" w:ascii="楷体_GB2312" w:hAnsi="楷体_GB2312" w:eastAsia="楷体_GB2312" w:cs="楷体_GB2312"/>
          <w:spacing w:val="17"/>
          <w:kern w:val="2"/>
          <w:sz w:val="36"/>
          <w:szCs w:val="36"/>
          <w:lang w:val="en-US" w:eastAsia="zh-CN"/>
        </w:rPr>
        <w:t>（三）扶持奖励措施。</w:t>
      </w:r>
      <w:r>
        <w:rPr>
          <w:rFonts w:hint="eastAsia" w:ascii="仿宋_GB2312" w:hAnsi="仿宋_GB2312" w:eastAsia="仿宋_GB2312" w:cs="仿宋_GB2312"/>
          <w:spacing w:val="17"/>
          <w:kern w:val="2"/>
          <w:sz w:val="36"/>
          <w:szCs w:val="36"/>
          <w:lang w:val="en-US" w:eastAsia="zh-CN"/>
        </w:rPr>
        <w:t>为政策核心内容，涵盖两方面：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6"/>
          <w:szCs w:val="36"/>
        </w:rPr>
        <w:t xml:space="preserve"> 一是</w:t>
      </w:r>
      <w:r>
        <w:rPr>
          <w:rFonts w:hint="eastAsia" w:ascii="仿宋_GB2312" w:hAnsi="仿宋_GB2312" w:eastAsia="仿宋_GB2312" w:cs="仿宋_GB2312"/>
          <w:spacing w:val="17"/>
          <w:kern w:val="2"/>
          <w:sz w:val="36"/>
          <w:szCs w:val="36"/>
          <w:lang w:val="en-US" w:eastAsia="zh-CN"/>
        </w:rPr>
        <w:t>规模突破奖励。软件信息服务业按营收首次突破节点分级奖励，5亿元奖励200万元、10亿元500万元、30亿元2000万元、60亿元4500万元，60亿元以上每增10亿元追加1000万元（单家最高1亿元）；科技服务业营收首次突破1亿元奖励50万元、3亿元奖励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6"/>
          <w:szCs w:val="36"/>
        </w:rPr>
        <w:t>二是</w:t>
      </w:r>
      <w:r>
        <w:rPr>
          <w:rFonts w:hint="eastAsia" w:ascii="仿宋_GB2312" w:hAnsi="仿宋_GB2312" w:eastAsia="仿宋_GB2312" w:cs="仿宋_GB2312"/>
          <w:spacing w:val="17"/>
          <w:kern w:val="2"/>
          <w:sz w:val="36"/>
          <w:szCs w:val="36"/>
          <w:lang w:val="en-US" w:eastAsia="zh-CN"/>
        </w:rPr>
        <w:t>企业能力提升支持。技术升级方面，单个新产品开发非人工成本达2亿元的，按3%给予最高1000万元支持（聚焦数据资产池、垂直大模型等）；研究基础提升方面，科研类固定资产投资500-1000万元支持15万元，1000万元以上支持30万元；平台建设方面，牵头国家级重大平台建设奖励200万元，市级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788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6"/>
          <w:szCs w:val="36"/>
        </w:rPr>
      </w:pPr>
      <w:r>
        <w:rPr>
          <w:rFonts w:hint="eastAsia" w:ascii="楷体_GB2312" w:hAnsi="楷体_GB2312" w:eastAsia="楷体_GB2312" w:cs="楷体_GB2312"/>
          <w:spacing w:val="17"/>
          <w:kern w:val="2"/>
          <w:sz w:val="36"/>
          <w:szCs w:val="36"/>
          <w:lang w:val="en-US" w:eastAsia="zh-CN"/>
        </w:rPr>
        <w:t>（四）附则。</w:t>
      </w:r>
      <w:r>
        <w:rPr>
          <w:rFonts w:hint="eastAsia" w:ascii="仿宋_GB2312" w:hAnsi="仿宋_GB2312" w:eastAsia="仿宋_GB2312" w:cs="仿宋_GB2312"/>
          <w:spacing w:val="17"/>
          <w:kern w:val="2"/>
          <w:sz w:val="36"/>
          <w:szCs w:val="36"/>
          <w:lang w:val="en-US" w:eastAsia="zh-CN"/>
        </w:rPr>
        <w:t>重点明确了政策执行的关键规则，同一企业同一事项按“就高不重复”原则享受扶持；注册登记等均在房山的企业，扶持资金分两期（3个月内50%、12个月内50%）兑现。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531" w:bottom="2098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56A538C"/>
    <w:rsid w:val="2C1245CE"/>
    <w:rsid w:val="34310052"/>
    <w:rsid w:val="4A5222B9"/>
    <w:rsid w:val="4BD9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toc 3"/>
    <w:basedOn w:val="1"/>
    <w:next w:val="1"/>
    <w:qFormat/>
    <w:uiPriority w:val="0"/>
    <w:pPr>
      <w:ind w:left="420"/>
    </w:pPr>
    <w:rPr>
      <w:rFonts w:ascii="等线" w:hAnsi="等线" w:eastAsia="等线" w:cs="黑体"/>
      <w:b/>
      <w:sz w:val="30"/>
      <w:szCs w:val="30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1</Lines>
  <Paragraphs>1</Paragraphs>
  <TotalTime>13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2025-08-19T08:18:55Z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EA64A025F005413893DA9B4F7D7340EE</vt:lpwstr>
  </property>
</Properties>
</file>