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8374">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14:paraId="20C2B79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经开区2024年数据跨境合规企业</w:t>
      </w:r>
    </w:p>
    <w:p w14:paraId="2AA23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资金支持</w:t>
      </w:r>
      <w:r>
        <w:rPr>
          <w:rFonts w:hint="eastAsia" w:ascii="方正小标宋简体" w:hAnsi="方正小标宋简体" w:eastAsia="方正小标宋简体" w:cs="方正小标宋简体"/>
          <w:sz w:val="44"/>
          <w:szCs w:val="44"/>
        </w:rPr>
        <w:t>办事指南</w:t>
      </w:r>
    </w:p>
    <w:p w14:paraId="31C4C2AD">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203141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14:paraId="26180F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《北京经济技术开发区关于加快推进数据产业高质量发展的若干措施》（京技管发〔2025〕16号）</w:t>
      </w:r>
      <w:r>
        <w:rPr>
          <w:rFonts w:hint="eastAsia" w:ascii="仿宋_GB2312" w:hAnsi="仿宋_GB2312" w:eastAsia="仿宋_GB2312" w:cs="仿宋_GB2312"/>
          <w:bCs/>
          <w:color w:val="000000"/>
          <w:kern w:val="0"/>
          <w:sz w:val="32"/>
          <w:szCs w:val="32"/>
          <w:lang w:val="en-US" w:eastAsia="zh-CN"/>
        </w:rPr>
        <w:t>中第十二条“</w:t>
      </w:r>
      <w:r>
        <w:rPr>
          <w:rFonts w:hint="eastAsia" w:ascii="仿宋_GB2312" w:hAnsi="仿宋_GB2312" w:eastAsia="仿宋_GB2312" w:cs="仿宋_GB2312"/>
          <w:bCs/>
          <w:color w:val="000000"/>
          <w:kern w:val="0"/>
          <w:sz w:val="32"/>
          <w:szCs w:val="32"/>
        </w:rPr>
        <w:t>支持企业便利化合规有序开展数据跨境流动活动，对首次通过数据出境安全评估、个人信息出境标准合同备案、个人信息出境个人信息保护认证的企业，经认定后，分别给</w:t>
      </w:r>
      <w:bookmarkStart w:id="0" w:name="_GoBack"/>
      <w:bookmarkEnd w:id="0"/>
      <w:r>
        <w:rPr>
          <w:rFonts w:hint="eastAsia" w:ascii="仿宋_GB2312" w:hAnsi="仿宋_GB2312" w:eastAsia="仿宋_GB2312" w:cs="仿宋_GB2312"/>
          <w:bCs/>
          <w:color w:val="000000"/>
          <w:kern w:val="0"/>
          <w:sz w:val="32"/>
          <w:szCs w:val="32"/>
        </w:rPr>
        <w:t>予最高50万元、10万元、10万元一次性资金支持。</w:t>
      </w:r>
      <w:r>
        <w:rPr>
          <w:rFonts w:hint="eastAsia" w:ascii="仿宋_GB2312" w:hAnsi="仿宋_GB2312" w:eastAsia="仿宋_GB2312" w:cs="仿宋_GB2312"/>
          <w:bCs/>
          <w:color w:val="000000"/>
          <w:kern w:val="0"/>
          <w:sz w:val="32"/>
          <w:szCs w:val="32"/>
          <w:lang w:eastAsia="zh-CN"/>
        </w:rPr>
        <w:t>”</w:t>
      </w:r>
    </w:p>
    <w:p w14:paraId="6D6A50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二、申报事项</w:t>
      </w:r>
    </w:p>
    <w:p w14:paraId="12D46E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s="仿宋_GB2312"/>
          <w:sz w:val="32"/>
          <w:szCs w:val="32"/>
          <w:lang w:val="en-US" w:eastAsia="zh-CN"/>
        </w:rPr>
      </w:pPr>
      <w:r>
        <w:rPr>
          <w:rFonts w:hint="eastAsia" w:eastAsia="仿宋_GB2312" w:cs="仿宋_GB2312"/>
          <w:sz w:val="32"/>
          <w:szCs w:val="32"/>
          <w:lang w:val="en-US" w:eastAsia="zh-CN"/>
        </w:rPr>
        <w:t>经开区</w:t>
      </w:r>
      <w:r>
        <w:rPr>
          <w:rFonts w:hint="eastAsia" w:ascii="仿宋_GB2312" w:hAnsi="仿宋_GB2312" w:eastAsia="仿宋_GB2312" w:cs="仿宋_GB2312"/>
          <w:bCs/>
          <w:color w:val="000000"/>
          <w:kern w:val="0"/>
          <w:sz w:val="32"/>
          <w:szCs w:val="32"/>
          <w:lang w:val="en-US" w:eastAsia="zh-CN"/>
        </w:rPr>
        <w:t>2024</w:t>
      </w:r>
      <w:r>
        <w:rPr>
          <w:rFonts w:hint="eastAsia" w:eastAsia="仿宋_GB2312" w:cs="仿宋_GB2312"/>
          <w:sz w:val="32"/>
          <w:szCs w:val="32"/>
          <w:lang w:val="en-US" w:eastAsia="zh-CN"/>
        </w:rPr>
        <w:t>年数据跨境合规企业资金支持</w:t>
      </w:r>
    </w:p>
    <w:p w14:paraId="459A1D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11A6A8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申报主体应为</w:t>
      </w:r>
      <w:r>
        <w:rPr>
          <w:rFonts w:hint="eastAsia" w:ascii="仿宋_GB2312" w:hAnsi="仿宋_GB2312" w:eastAsia="仿宋_GB2312" w:cs="仿宋_GB2312"/>
          <w:bCs/>
          <w:color w:val="000000"/>
          <w:kern w:val="0"/>
          <w:sz w:val="32"/>
          <w:szCs w:val="32"/>
        </w:rPr>
        <w:t>合规有序开展数据跨境流动活动</w:t>
      </w:r>
      <w:r>
        <w:rPr>
          <w:rFonts w:hint="eastAsia" w:ascii="仿宋_GB2312" w:hAnsi="仿宋_GB2312" w:eastAsia="仿宋_GB2312" w:cs="仿宋_GB2312"/>
          <w:bCs/>
          <w:color w:val="000000"/>
          <w:kern w:val="0"/>
          <w:sz w:val="32"/>
          <w:szCs w:val="32"/>
          <w:lang w:eastAsia="zh-CN"/>
        </w:rPr>
        <w:t>的企业、机构、经济组织等单位，</w:t>
      </w:r>
      <w:r>
        <w:rPr>
          <w:rFonts w:hint="eastAsia" w:ascii="仿宋_GB2312" w:eastAsia="仿宋_GB2312" w:cs="仿宋_GB2312"/>
          <w:sz w:val="32"/>
          <w:szCs w:val="32"/>
        </w:rPr>
        <w:t>在亦庄新城</w:t>
      </w:r>
      <w:r>
        <w:rPr>
          <w:rFonts w:hint="eastAsia" w:ascii="仿宋_GB2312" w:hAnsi="仿宋_GB2312" w:eastAsia="仿宋_GB2312" w:cs="仿宋_GB2312"/>
          <w:sz w:val="32"/>
          <w:szCs w:val="32"/>
        </w:rPr>
        <w:t>225平方公里</w:t>
      </w:r>
      <w:r>
        <w:rPr>
          <w:rFonts w:hint="eastAsia" w:ascii="仿宋_GB2312" w:hAnsi="仿宋_GB2312" w:eastAsia="仿宋_GB2312" w:cs="仿宋_GB2312"/>
          <w:sz w:val="32"/>
          <w:szCs w:val="32"/>
          <w:lang w:eastAsia="zh-CN"/>
        </w:rPr>
        <w:t>范围内</w:t>
      </w:r>
      <w:r>
        <w:rPr>
          <w:rFonts w:hint="eastAsia" w:ascii="仿宋_GB2312" w:eastAsia="仿宋_GB2312" w:cs="仿宋_GB2312"/>
          <w:sz w:val="32"/>
          <w:szCs w:val="32"/>
        </w:rPr>
        <w:t>依法</w:t>
      </w:r>
      <w:r>
        <w:rPr>
          <w:rFonts w:hint="eastAsia" w:ascii="仿宋_GB2312" w:eastAsia="仿宋_GB2312" w:cs="仿宋_GB2312"/>
          <w:sz w:val="32"/>
          <w:szCs w:val="32"/>
          <w:lang w:eastAsia="zh-CN"/>
        </w:rPr>
        <w:t>实际经营</w:t>
      </w:r>
      <w:r>
        <w:rPr>
          <w:rFonts w:hint="eastAsia" w:ascii="仿宋_GB2312" w:eastAsia="仿宋_GB2312" w:cs="仿宋_GB2312"/>
          <w:sz w:val="32"/>
          <w:szCs w:val="32"/>
        </w:rPr>
        <w:t>，</w:t>
      </w:r>
      <w:r>
        <w:rPr>
          <w:rFonts w:hint="eastAsia" w:ascii="仿宋_GB2312" w:hAnsi="仿宋_GB2312" w:eastAsia="仿宋_GB2312" w:cs="仿宋_GB2312"/>
          <w:bCs/>
          <w:color w:val="000000"/>
          <w:kern w:val="0"/>
          <w:sz w:val="32"/>
          <w:szCs w:val="32"/>
          <w:lang w:eastAsia="zh-CN"/>
        </w:rPr>
        <w:t>近</w:t>
      </w:r>
      <w:r>
        <w:rPr>
          <w:rFonts w:hint="eastAsia" w:ascii="仿宋_GB2312" w:eastAsia="仿宋_GB2312" w:cs="仿宋_GB2312"/>
          <w:sz w:val="32"/>
          <w:szCs w:val="32"/>
        </w:rPr>
        <w:t>三年内</w:t>
      </w:r>
      <w:r>
        <w:rPr>
          <w:rFonts w:ascii="仿宋_GB2312" w:eastAsia="仿宋_GB2312" w:cs="仿宋_GB2312"/>
          <w:sz w:val="32"/>
          <w:szCs w:val="32"/>
        </w:rPr>
        <w:t>无重大行政处罚记录</w:t>
      </w:r>
      <w:r>
        <w:rPr>
          <w:rFonts w:hint="eastAsia" w:ascii="仿宋_GB2312" w:eastAsia="仿宋_GB2312" w:cs="仿宋_GB2312"/>
          <w:sz w:val="32"/>
          <w:szCs w:val="32"/>
          <w:lang w:eastAsia="zh-CN"/>
        </w:rPr>
        <w:t>、</w:t>
      </w:r>
      <w:r>
        <w:rPr>
          <w:rFonts w:ascii="仿宋_GB2312" w:eastAsia="仿宋_GB2312" w:cs="仿宋_GB2312"/>
          <w:sz w:val="32"/>
          <w:szCs w:val="32"/>
        </w:rPr>
        <w:t>刑事犯罪记录</w:t>
      </w:r>
      <w:r>
        <w:rPr>
          <w:rFonts w:hint="eastAsia" w:ascii="仿宋_GB2312" w:eastAsia="仿宋_GB2312" w:cs="仿宋_GB2312"/>
          <w:sz w:val="32"/>
          <w:szCs w:val="32"/>
          <w:lang w:eastAsia="zh-CN"/>
        </w:rPr>
        <w:t>和网信领域违法违规记录</w:t>
      </w:r>
      <w:r>
        <w:rPr>
          <w:rFonts w:ascii="仿宋_GB2312" w:eastAsia="仿宋_GB2312" w:cs="仿宋_GB2312"/>
          <w:sz w:val="32"/>
          <w:szCs w:val="32"/>
        </w:rPr>
        <w:t>，未列入严重违法失信主体名单</w:t>
      </w:r>
      <w:r>
        <w:rPr>
          <w:rFonts w:hint="eastAsia" w:ascii="仿宋_GB2312" w:eastAsia="仿宋_GB2312" w:cs="仿宋_GB2312"/>
          <w:sz w:val="32"/>
          <w:szCs w:val="32"/>
          <w:lang w:eastAsia="zh-CN"/>
        </w:rPr>
        <w:t>；</w:t>
      </w:r>
    </w:p>
    <w:p w14:paraId="71424DF6">
      <w:pPr>
        <w:numPr>
          <w:ilvl w:val="255"/>
          <w:numId w:val="0"/>
        </w:numPr>
        <w:spacing w:line="560" w:lineRule="exact"/>
        <w:ind w:firstLine="640" w:firstLineChars="200"/>
        <w:outlineLvl w:val="0"/>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单位经营状况良好，有下列情形的不予支持：列入《北京市新增产业的禁止和限制目录》禁止类和限制类范围的；纳入全市联合惩戒“黑名单”的；纳入北京市商务领域不良信用记录名单，受到“不予支持”信用惩戒的；经审议其他不予支持的。</w:t>
      </w:r>
    </w:p>
    <w:p w14:paraId="3350E0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（三）申报企业应为</w:t>
      </w:r>
      <w:r>
        <w:rPr>
          <w:rFonts w:hint="eastAsia" w:ascii="仿宋_GB2312" w:hAnsi="仿宋_GB2312" w:eastAsia="仿宋_GB2312" w:cs="仿宋_GB2312"/>
          <w:sz w:val="32"/>
          <w:szCs w:val="32"/>
          <w:lang w:val="en-US" w:eastAsia="zh-CN"/>
        </w:rPr>
        <w:t>首次通过数据出境安全评估、个人信息出境标准合同备案、个人信息出境个人信息保护认证企业，同一集团企业（包括其分公司及关联子公司）就本项补贴仅限申请一次。</w:t>
      </w:r>
    </w:p>
    <w:p w14:paraId="2625CB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（四）申报主体须自2024年1月1日至2024年12月31日完成数据出境合规义务，以数据出境安全</w:t>
      </w:r>
      <w:r>
        <w:rPr>
          <w:rFonts w:hint="eastAsia" w:ascii="Times New Roman" w:hAnsi="Times New Roman" w:eastAsia="仿宋_GB2312" w:cs="Times New Roman"/>
          <w:color w:val="auto"/>
          <w:kern w:val="0"/>
          <w:sz w:val="32"/>
          <w:szCs w:val="32"/>
          <w:u w:val="none"/>
          <w:lang w:eastAsia="zh"/>
        </w:rPr>
        <w:t>评估结果通知书</w:t>
      </w:r>
      <w:r>
        <w:rPr>
          <w:rFonts w:hint="eastAsia" w:ascii="Times New Roman" w:hAnsi="Times New Roman" w:eastAsia="仿宋_GB2312" w:cs="Times New Roman"/>
          <w:color w:val="auto"/>
          <w:kern w:val="0"/>
          <w:sz w:val="32"/>
          <w:szCs w:val="32"/>
          <w:u w:val="none"/>
          <w:lang w:val="en-US" w:eastAsia="zh-CN"/>
        </w:rPr>
        <w:t>、</w:t>
      </w:r>
      <w:r>
        <w:rPr>
          <w:rFonts w:hint="eastAsia" w:ascii="仿宋_GB2312" w:hAnsi="仿宋_GB2312" w:eastAsia="仿宋_GB2312" w:cs="仿宋_GB2312"/>
          <w:sz w:val="32"/>
          <w:szCs w:val="32"/>
          <w:lang w:val="en-US" w:eastAsia="zh-CN"/>
        </w:rPr>
        <w:t>数据出境个人信息标准合同备案结果通知书或数据出境个人信息保护认证证书日期为准。</w:t>
      </w:r>
    </w:p>
    <w:p w14:paraId="78A9D9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14:paraId="52758C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）数据出境</w:t>
      </w:r>
      <w:r>
        <w:rPr>
          <w:rFonts w:hint="eastAsia" w:ascii="仿宋_GB2312" w:hAnsi="仿宋_GB2312" w:eastAsia="仿宋_GB2312" w:cs="仿宋_GB2312"/>
          <w:sz w:val="32"/>
          <w:szCs w:val="32"/>
          <w:lang w:val="en-US" w:eastAsia="zh-CN"/>
        </w:rPr>
        <w:t>合规路径为</w:t>
      </w:r>
      <w:r>
        <w:rPr>
          <w:rFonts w:hint="eastAsia" w:ascii="仿宋_GB2312" w:hAnsi="仿宋_GB2312" w:eastAsia="仿宋_GB2312" w:cs="仿宋_GB2312"/>
          <w:sz w:val="32"/>
          <w:szCs w:val="32"/>
        </w:rPr>
        <w:t>通过数据出境安全评估的</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一个场景最高补贴20万元，一家企业最高补贴50万元</w:t>
      </w:r>
      <w:r>
        <w:rPr>
          <w:rFonts w:hint="eastAsia" w:ascii="仿宋_GB2312" w:hAnsi="仿宋_GB2312" w:eastAsia="仿宋_GB2312" w:cs="仿宋_GB2312"/>
          <w:sz w:val="32"/>
          <w:szCs w:val="32"/>
          <w:lang w:eastAsia="zh-CN"/>
        </w:rPr>
        <w:t>；</w:t>
      </w:r>
    </w:p>
    <w:p w14:paraId="6A1FA6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）数据出境</w:t>
      </w:r>
      <w:r>
        <w:rPr>
          <w:rFonts w:hint="eastAsia" w:ascii="仿宋_GB2312" w:hAnsi="仿宋_GB2312" w:eastAsia="仿宋_GB2312" w:cs="仿宋_GB2312"/>
          <w:sz w:val="32"/>
          <w:szCs w:val="32"/>
          <w:lang w:val="en-US" w:eastAsia="zh-CN"/>
        </w:rPr>
        <w:t>合规路径为</w:t>
      </w:r>
      <w:r>
        <w:rPr>
          <w:rFonts w:hint="eastAsia" w:ascii="仿宋_GB2312" w:hAnsi="仿宋_GB2312" w:eastAsia="仿宋_GB2312" w:cs="仿宋_GB2312"/>
          <w:sz w:val="32"/>
          <w:szCs w:val="32"/>
        </w:rPr>
        <w:t>个人信息出境标准合同备案</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个人信息出境个人信息保护认证的</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一个场景最高补贴5万元，一家企业最高补贴10万元；</w:t>
      </w:r>
    </w:p>
    <w:p w14:paraId="481D37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（三）补贴金额不超过第三方咨询服务实际支付费用，</w:t>
      </w:r>
      <w:r>
        <w:rPr>
          <w:rFonts w:hint="eastAsia" w:ascii="仿宋_GB2312" w:hAnsi="仿宋_GB2312" w:eastAsia="仿宋_GB2312" w:cs="仿宋_GB2312"/>
          <w:sz w:val="32"/>
          <w:szCs w:val="32"/>
        </w:rPr>
        <w:t>补贴金额以万元为单位，不足万元部分舍去。</w:t>
      </w:r>
    </w:p>
    <w:p w14:paraId="1DA95B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五、申报材料及要求</w:t>
      </w:r>
    </w:p>
    <w:p w14:paraId="1DCCA178">
      <w:pPr>
        <w:keepNext w:val="0"/>
        <w:keepLines w:val="0"/>
        <w:pageBreakBefore w:val="0"/>
        <w:kinsoku/>
        <w:wordWrap/>
        <w:overflowPunct/>
        <w:topLinePunct w:val="0"/>
        <w:autoSpaceDE/>
        <w:autoSpaceDN/>
        <w:bidi w:val="0"/>
        <w:adjustRightInd/>
        <w:snapToGrid/>
        <w:spacing w:line="560" w:lineRule="exact"/>
        <w:ind w:firstLine="664" w:firstLineChars="200"/>
        <w:textAlignment w:val="auto"/>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14:paraId="373272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经开区</w:t>
      </w:r>
      <w:r>
        <w:rPr>
          <w:rFonts w:hint="eastAsia" w:ascii="仿宋_GB2312" w:hAnsi="仿宋_GB2312" w:eastAsia="仿宋_GB2312" w:cs="仿宋_GB2312"/>
          <w:sz w:val="32"/>
          <w:szCs w:val="32"/>
        </w:rPr>
        <w:t>2024年数据跨境合规企业</w:t>
      </w:r>
      <w:r>
        <w:rPr>
          <w:rFonts w:hint="eastAsia" w:ascii="仿宋_GB2312" w:hAnsi="仿宋_GB2312" w:eastAsia="仿宋_GB2312" w:cs="仿宋_GB2312"/>
          <w:sz w:val="32"/>
          <w:szCs w:val="32"/>
          <w:lang w:eastAsia="zh-CN"/>
        </w:rPr>
        <w:t>资金支持</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表，在线填写</w:t>
      </w:r>
      <w:r>
        <w:rPr>
          <w:rFonts w:hint="eastAsia" w:ascii="仿宋_GB2312" w:hAnsi="仿宋_GB2312" w:eastAsia="仿宋_GB2312" w:cs="仿宋_GB2312"/>
          <w:sz w:val="32"/>
          <w:szCs w:val="32"/>
          <w:lang w:eastAsia="zh-CN"/>
        </w:rPr>
        <w:t>；</w:t>
      </w:r>
    </w:p>
    <w:p w14:paraId="20933132">
      <w:pPr>
        <w:spacing w:line="56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14:paraId="55B035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z w:val="32"/>
          <w:szCs w:val="32"/>
          <w:lang w:val="en-US" w:eastAsia="zh-CN"/>
        </w:rPr>
        <w:t>；</w:t>
      </w:r>
    </w:p>
    <w:p w14:paraId="220E2F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z w:val="32"/>
          <w:szCs w:val="32"/>
          <w:lang w:val="en-US" w:eastAsia="zh-CN"/>
        </w:rPr>
        <w:t>；</w:t>
      </w:r>
    </w:p>
    <w:p w14:paraId="67CC6F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网信部门出具的结果通知书及</w:t>
      </w:r>
      <w:r>
        <w:rPr>
          <w:rFonts w:hint="default" w:ascii="Times New Roman" w:hAnsi="Times New Roman" w:eastAsia="仿宋_GB2312" w:cs="Times New Roman"/>
          <w:color w:val="auto"/>
          <w:kern w:val="0"/>
          <w:sz w:val="32"/>
          <w:szCs w:val="32"/>
          <w:u w:val="none"/>
        </w:rPr>
        <w:t>数据出境安全评估申报</w:t>
      </w:r>
      <w:r>
        <w:rPr>
          <w:rFonts w:hint="eastAsia" w:ascii="Times New Roman" w:hAnsi="Times New Roman" w:eastAsia="仿宋_GB2312" w:cs="Times New Roman"/>
          <w:color w:val="auto"/>
          <w:kern w:val="0"/>
          <w:sz w:val="32"/>
          <w:szCs w:val="32"/>
          <w:u w:val="none"/>
          <w:lang w:val="en-US" w:eastAsia="zh-CN"/>
        </w:rPr>
        <w:t>材料</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kern w:val="0"/>
          <w:sz w:val="32"/>
          <w:szCs w:val="32"/>
          <w:lang w:val="en-US" w:eastAsia="zh-CN"/>
        </w:rPr>
        <w:t>标准合同</w:t>
      </w:r>
      <w:r>
        <w:rPr>
          <w:rFonts w:hint="eastAsia" w:ascii="Times New Roman" w:hAnsi="Times New Roman" w:eastAsia="仿宋_GB2312" w:cs="Times New Roman"/>
          <w:kern w:val="0"/>
          <w:sz w:val="32"/>
          <w:szCs w:val="32"/>
          <w:lang w:val="en-US" w:eastAsia="zh-CN"/>
        </w:rPr>
        <w:t>备案材料等</w:t>
      </w:r>
      <w:r>
        <w:rPr>
          <w:rFonts w:hint="eastAsia" w:ascii="仿宋_GB2312" w:hAnsi="仿宋_GB2312" w:eastAsia="仿宋_GB2312" w:cs="仿宋_GB2312"/>
          <w:sz w:val="32"/>
          <w:szCs w:val="32"/>
          <w:lang w:val="en-US" w:eastAsia="zh-CN"/>
        </w:rPr>
        <w:t>数据出境合规申报证明材料，原件彩色扫描上传</w:t>
      </w:r>
      <w:r>
        <w:rPr>
          <w:rFonts w:hint="eastAsia" w:ascii="仿宋_GB2312" w:hAnsi="仿宋_GB2312" w:eastAsia="仿宋_GB2312" w:cs="仿宋_GB2312"/>
          <w:spacing w:val="6"/>
          <w:sz w:val="32"/>
          <w:szCs w:val="32"/>
        </w:rPr>
        <w:t>；</w:t>
      </w:r>
    </w:p>
    <w:p w14:paraId="493057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第三方咨询服务合同及发票，</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彩色扫描上传</w:t>
      </w:r>
      <w:r>
        <w:rPr>
          <w:rFonts w:hint="eastAsia" w:ascii="仿宋_GB2312" w:hAnsi="仿宋_GB2312" w:eastAsia="仿宋_GB2312" w:cs="仿宋_GB2312"/>
          <w:spacing w:val="6"/>
          <w:sz w:val="32"/>
          <w:szCs w:val="32"/>
          <w:lang w:eastAsia="zh-CN"/>
        </w:rPr>
        <w:t>。</w:t>
      </w:r>
    </w:p>
    <w:p w14:paraId="731F4B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六、办理程序</w:t>
      </w:r>
    </w:p>
    <w:p w14:paraId="206CE6A8">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w:t>
      </w:r>
      <w:r>
        <w:rPr>
          <w:rFonts w:hint="eastAsia" w:ascii="仿宋_GB2312" w:hAnsi="仿宋_GB2312" w:eastAsia="仿宋_GB2312" w:cs="仿宋_GB2312"/>
          <w:sz w:val="32"/>
          <w:szCs w:val="32"/>
          <w:lang w:eastAsia="zh-CN"/>
        </w:rPr>
        <w:t>栏目</w:t>
      </w:r>
      <w:r>
        <w:rPr>
          <w:rFonts w:hint="eastAsia" w:ascii="仿宋_GB2312" w:hAnsi="仿宋_GB2312" w:eastAsia="仿宋_GB2312" w:cs="仿宋_GB2312"/>
          <w:sz w:val="32"/>
          <w:szCs w:val="32"/>
        </w:rPr>
        <w:t>（zcdx.kfqgw.beijing.gov.cn）进入政策兑现综合服务平台，注册登录后进行项目申报。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14:paraId="75BCD2C0">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经开区营商环境建设局</w:t>
      </w:r>
      <w:r>
        <w:rPr>
          <w:rFonts w:hint="eastAsia" w:ascii="仿宋_GB2312" w:hAnsi="仿宋_GB2312" w:eastAsia="仿宋_GB2312" w:cs="仿宋_GB2312"/>
          <w:color w:val="000000"/>
          <w:kern w:val="2"/>
          <w:sz w:val="32"/>
          <w:szCs w:val="32"/>
        </w:rPr>
        <w:t>对申报主体提交的材料进行完整性审查，材料不齐全或不符合要求的，告知申报主体补齐补正。</w:t>
      </w:r>
    </w:p>
    <w:p w14:paraId="03CB64D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b/>
          <w:bCs/>
          <w:color w:val="000000"/>
          <w:kern w:val="2"/>
          <w:sz w:val="32"/>
          <w:szCs w:val="32"/>
          <w:lang w:eastAsia="zh-CN"/>
        </w:rPr>
        <w:t>：</w:t>
      </w:r>
      <w:r>
        <w:rPr>
          <w:rFonts w:hint="eastAsia" w:ascii="仿宋_GB2312" w:hAnsi="仿宋_GB2312" w:eastAsia="仿宋_GB2312" w:cs="仿宋_GB2312"/>
          <w:color w:val="000000"/>
          <w:kern w:val="2"/>
          <w:sz w:val="32"/>
          <w:szCs w:val="32"/>
          <w:lang w:eastAsia="zh-CN"/>
        </w:rPr>
        <w:t>经开区商务金融局对申请材料进行实质审核。</w:t>
      </w:r>
    </w:p>
    <w:p w14:paraId="0473493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商务金融</w:t>
      </w:r>
      <w:r>
        <w:rPr>
          <w:rFonts w:hint="eastAsia" w:ascii="仿宋_GB2312" w:hAnsi="仿宋_GB2312" w:eastAsia="仿宋_GB2312" w:cs="仿宋_GB2312"/>
          <w:color w:val="000000"/>
          <w:kern w:val="2"/>
          <w:sz w:val="32"/>
          <w:szCs w:val="32"/>
        </w:rPr>
        <w:t>局对审核通过的申报主体拟定兑现扶持奖励金额。</w:t>
      </w:r>
    </w:p>
    <w:p w14:paraId="7AD08CD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商务金融局</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14:paraId="49D629AE">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168BCB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七、主责部门</w:t>
      </w:r>
    </w:p>
    <w:p w14:paraId="50EB99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eastAsia="仿宋_GB2312" w:cs="仿宋_GB2312"/>
          <w:sz w:val="32"/>
          <w:szCs w:val="32"/>
          <w:lang w:val="en-US" w:eastAsia="zh-CN"/>
        </w:rPr>
        <w:t>商务金融</w:t>
      </w:r>
      <w:r>
        <w:rPr>
          <w:rFonts w:hint="eastAsia" w:eastAsia="仿宋_GB2312" w:cs="仿宋_GB2312"/>
          <w:sz w:val="32"/>
          <w:szCs w:val="32"/>
        </w:rPr>
        <w:t>局</w:t>
      </w:r>
    </w:p>
    <w:p w14:paraId="59FCD4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八、受理窗口</w:t>
      </w:r>
    </w:p>
    <w:p w14:paraId="4882CC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“政策申报”窗口</w:t>
      </w:r>
    </w:p>
    <w:p w14:paraId="495EF5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九、申报时间</w:t>
      </w:r>
    </w:p>
    <w:p w14:paraId="0D675D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2025年8月18日至2025年9月17日</w:t>
      </w:r>
    </w:p>
    <w:p w14:paraId="3CE413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十、联系方式</w:t>
      </w:r>
    </w:p>
    <w:p w14:paraId="4E0BAC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14:paraId="0C265B2B">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经开区政务服务</w:t>
      </w:r>
      <w:r>
        <w:rPr>
          <w:rFonts w:hint="eastAsia" w:eastAsia="仿宋_GB2312"/>
          <w:sz w:val="32"/>
          <w:szCs w:val="32"/>
          <w:lang w:eastAsia="zh-CN"/>
        </w:rPr>
        <w:t>大厅</w:t>
      </w:r>
      <w:r>
        <w:rPr>
          <w:rFonts w:hint="eastAsia" w:eastAsia="仿宋_GB2312"/>
          <w:sz w:val="32"/>
          <w:szCs w:val="32"/>
        </w:rPr>
        <w:t>“政策申报”窗口，联系电话：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1292EC65">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highlight w:val="none"/>
        </w:rPr>
        <w:t>经开</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val="en-US" w:eastAsia="zh-CN"/>
        </w:rPr>
        <w:t>商务金融局，</w:t>
      </w:r>
      <w:r>
        <w:rPr>
          <w:rFonts w:hint="eastAsia" w:ascii="仿宋_GB2312" w:hAnsi="仿宋_GB2312" w:eastAsia="仿宋_GB2312" w:cs="仿宋_GB2312"/>
          <w:sz w:val="32"/>
          <w:szCs w:val="32"/>
          <w:highlight w:val="none"/>
        </w:rPr>
        <w:t>联系电话：010-</w:t>
      </w:r>
      <w:r>
        <w:rPr>
          <w:rFonts w:hint="eastAsia" w:ascii="仿宋_GB2312" w:hAnsi="仿宋_GB2312" w:eastAsia="仿宋_GB2312" w:cs="仿宋_GB2312"/>
          <w:sz w:val="32"/>
          <w:szCs w:val="32"/>
          <w:highlight w:val="none"/>
          <w:lang w:val="en-US" w:eastAsia="zh-CN"/>
        </w:rPr>
        <w:t>67888353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17710613365，</w:t>
      </w:r>
      <w:r>
        <w:rPr>
          <w:rFonts w:hint="eastAsia" w:ascii="仿宋_GB2312" w:hAnsi="仿宋_GB2312" w:eastAsia="仿宋_GB2312" w:cs="仿宋_GB2312"/>
          <w:sz w:val="32"/>
          <w:szCs w:val="32"/>
        </w:rPr>
        <w:t>工作日上午9:00—12:00，下午2:00—6:00。</w:t>
      </w:r>
    </w:p>
    <w:p w14:paraId="0CB98343">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14:paraId="52F20634">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14:paraId="727D7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14:paraId="620723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611334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十二、特别说明</w:t>
      </w:r>
    </w:p>
    <w:p w14:paraId="0EA63E1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360EF1"/>
    <w:rsid w:val="0001192B"/>
    <w:rsid w:val="00060052"/>
    <w:rsid w:val="00062C5F"/>
    <w:rsid w:val="000F62F2"/>
    <w:rsid w:val="001145E7"/>
    <w:rsid w:val="00161422"/>
    <w:rsid w:val="00161CCE"/>
    <w:rsid w:val="002838D9"/>
    <w:rsid w:val="00360EF1"/>
    <w:rsid w:val="00395968"/>
    <w:rsid w:val="00457B4D"/>
    <w:rsid w:val="00635679"/>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2F76F4A"/>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30A4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1115"/>
    <w:rsid w:val="37C93788"/>
    <w:rsid w:val="37EF6300"/>
    <w:rsid w:val="37FD7B6F"/>
    <w:rsid w:val="380942B0"/>
    <w:rsid w:val="382D54B8"/>
    <w:rsid w:val="38363290"/>
    <w:rsid w:val="383A3742"/>
    <w:rsid w:val="38732C18"/>
    <w:rsid w:val="387A66CC"/>
    <w:rsid w:val="38921ED5"/>
    <w:rsid w:val="38C22A0D"/>
    <w:rsid w:val="38D34E86"/>
    <w:rsid w:val="39122B90"/>
    <w:rsid w:val="393063E5"/>
    <w:rsid w:val="394B4A07"/>
    <w:rsid w:val="39511D42"/>
    <w:rsid w:val="3967591C"/>
    <w:rsid w:val="39731517"/>
    <w:rsid w:val="39791EC9"/>
    <w:rsid w:val="39841846"/>
    <w:rsid w:val="399C38E8"/>
    <w:rsid w:val="39A60AA5"/>
    <w:rsid w:val="39C93AF0"/>
    <w:rsid w:val="3A357D94"/>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2E6018"/>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294980"/>
    <w:rsid w:val="4B6D7706"/>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AB578F"/>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0F3BD5"/>
    <w:rsid w:val="521F04B3"/>
    <w:rsid w:val="528E639D"/>
    <w:rsid w:val="52DE0B2A"/>
    <w:rsid w:val="52E63BA6"/>
    <w:rsid w:val="52E7230E"/>
    <w:rsid w:val="53073C5C"/>
    <w:rsid w:val="53651256"/>
    <w:rsid w:val="53857348"/>
    <w:rsid w:val="53AD3C9D"/>
    <w:rsid w:val="543A5B0D"/>
    <w:rsid w:val="54504F86"/>
    <w:rsid w:val="545F151F"/>
    <w:rsid w:val="5462681B"/>
    <w:rsid w:val="54FF0C4E"/>
    <w:rsid w:val="5508192F"/>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AB0AEC"/>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E132F2"/>
    <w:rsid w:val="5DFA426F"/>
    <w:rsid w:val="5E60221A"/>
    <w:rsid w:val="5E852B06"/>
    <w:rsid w:val="5EBB0773"/>
    <w:rsid w:val="5EC9424F"/>
    <w:rsid w:val="5F3D238D"/>
    <w:rsid w:val="5F3F6EB7"/>
    <w:rsid w:val="5F595787"/>
    <w:rsid w:val="5F5A2EFF"/>
    <w:rsid w:val="5F8D1C46"/>
    <w:rsid w:val="5FBD03D0"/>
    <w:rsid w:val="5FE50B69"/>
    <w:rsid w:val="601B4866"/>
    <w:rsid w:val="60303D05"/>
    <w:rsid w:val="60386110"/>
    <w:rsid w:val="606977B6"/>
    <w:rsid w:val="60B75222"/>
    <w:rsid w:val="610966E3"/>
    <w:rsid w:val="61A06ED8"/>
    <w:rsid w:val="61CC6283"/>
    <w:rsid w:val="61E37C19"/>
    <w:rsid w:val="61EB1FBB"/>
    <w:rsid w:val="620458E9"/>
    <w:rsid w:val="622F5396"/>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B54F5D"/>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0C6606"/>
    <w:rsid w:val="712573D2"/>
    <w:rsid w:val="7155010D"/>
    <w:rsid w:val="715C4E8A"/>
    <w:rsid w:val="717F152D"/>
    <w:rsid w:val="71D07EE4"/>
    <w:rsid w:val="720A7EB8"/>
    <w:rsid w:val="720F3D8F"/>
    <w:rsid w:val="722A4E10"/>
    <w:rsid w:val="72A75458"/>
    <w:rsid w:val="72D92721"/>
    <w:rsid w:val="732D07CF"/>
    <w:rsid w:val="73436223"/>
    <w:rsid w:val="735538BA"/>
    <w:rsid w:val="73AC6967"/>
    <w:rsid w:val="73AE56BA"/>
    <w:rsid w:val="740941C7"/>
    <w:rsid w:val="744D3038"/>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D7587D"/>
    <w:rsid w:val="79E40A04"/>
    <w:rsid w:val="7A151811"/>
    <w:rsid w:val="7A861051"/>
    <w:rsid w:val="7B201A3E"/>
    <w:rsid w:val="7B3C52F1"/>
    <w:rsid w:val="7B9D0472"/>
    <w:rsid w:val="7BA046F3"/>
    <w:rsid w:val="7BC37346"/>
    <w:rsid w:val="7BE71A21"/>
    <w:rsid w:val="7BF87E00"/>
    <w:rsid w:val="7C064DA7"/>
    <w:rsid w:val="7C0A2379"/>
    <w:rsid w:val="7C112470"/>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A24A05"/>
    <w:rsid w:val="7FC14E2C"/>
    <w:rsid w:val="7FFB8B28"/>
    <w:rsid w:val="9F6F6015"/>
    <w:rsid w:val="C7DB93C8"/>
    <w:rsid w:val="DD7E7DC7"/>
    <w:rsid w:val="DEF5E07B"/>
    <w:rsid w:val="EFEEB9E2"/>
    <w:rsid w:val="F4EF9BD6"/>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1439</Words>
  <Characters>1628</Characters>
  <Lines>11</Lines>
  <Paragraphs>3</Paragraphs>
  <TotalTime>2</TotalTime>
  <ScaleCrop>false</ScaleCrop>
  <LinksUpToDate>false</LinksUpToDate>
  <CharactersWithSpaces>1628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2019-08-14T06:54:00Z</dcterms:created>
  <dc:creator>zkk</dc:creator>
  <cp:lastModifiedBy>张九峰</cp:lastModifiedBy>
  <cp:lastPrinted>2025-08-14T04:01:12Z</cp:lastPrinted>
  <dcterms:modified xsi:type="dcterms:W3CDTF">2025-08-14T04:02:48Z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6AE0F2B4DC3F4631A439CA8F1574E1DD_13</vt:lpwstr>
  </property>
  <property fmtid="{D5CDD505-2E9C-101B-9397-08002B2CF9AE}" pid="4" name="KSOTemplateDocerSaveRecord">
    <vt:lpwstr>eyJoZGlkIjoiYjc4NWIyZjY1MDI1ZWYxZTIwMWZmN2NlMjhhMTRhZTUiLCJ1c2VySWQiOiI0Mzk5MDkzNjQifQ==</vt:lpwstr>
  </property>
</Properties>
</file>