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0D5E">
      <w:pPr>
        <w:spacing w:after="0" w:line="560" w:lineRule="exact"/>
        <w:ind w:firstLine="350" w:firstLineChars="100"/>
        <w:jc w:val="left"/>
        <w:rPr>
          <w:rFonts w:hint="eastAsia" w:ascii="仿宋_GB2312" w:hAnsi="仿宋_GB2312" w:eastAsia="仿宋_GB2312" w:cs="仿宋_GB2312"/>
          <w:b/>
          <w:bCs/>
          <w:sz w:val="32"/>
          <w:szCs w:val="32"/>
        </w:rPr>
      </w:pPr>
      <w:bookmarkStart w:id="0" w:name="_Toc129097069"/>
      <w:bookmarkStart w:id="1" w:name="_Toc18923"/>
      <w:bookmarkStart w:id="2" w:name="_Toc126153478"/>
      <w:bookmarkStart w:id="3" w:name="_Toc126151261"/>
      <w:r>
        <w:rPr>
          <w:rFonts w:hint="eastAsia" w:ascii="黑体" w:hAnsi="黑体" w:eastAsia="黑体" w:cs="黑体"/>
          <w:color w:val="333333"/>
          <w:spacing w:val="15"/>
          <w:kern w:val="0"/>
          <w:sz w:val="32"/>
          <w:szCs w:val="32"/>
          <w:shd w:val="clear" w:color="auto" w:fill="FFFFFF"/>
        </w:rPr>
        <w:t>附件5</w:t>
      </w:r>
    </w:p>
    <w:p w14:paraId="7CF59C19">
      <w:pPr>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碳中和认证奖励办事指南</w:t>
      </w:r>
    </w:p>
    <w:p w14:paraId="757259D3">
      <w:pPr>
        <w:spacing w:after="0" w:line="560" w:lineRule="exact"/>
        <w:rPr>
          <w:rFonts w:hint="eastAsia" w:ascii="仿宋_GB2312" w:hAnsi="仿宋_GB2312" w:eastAsia="仿宋_GB2312" w:cs="仿宋_GB2312"/>
          <w:sz w:val="32"/>
          <w:szCs w:val="32"/>
        </w:rPr>
      </w:pPr>
    </w:p>
    <w:p w14:paraId="3EECDF79">
      <w:pPr>
        <w:spacing w:after="0"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20460D7C">
      <w:pPr>
        <w:spacing w:after="0" w:line="560" w:lineRule="exact"/>
        <w:ind w:firstLine="640" w:firstLineChars="200"/>
        <w:rPr>
          <w:rFonts w:hint="eastAsia" w:ascii="仿宋_GB2312" w:hAnsi="仿宋_GB2312" w:eastAsia="仿宋_GB2312" w:cs="仿宋_GB2312"/>
          <w:bCs/>
          <w:color w:val="0000FF"/>
          <w:kern w:val="0"/>
          <w:sz w:val="32"/>
          <w:szCs w:val="32"/>
        </w:rPr>
      </w:pP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kern w:val="0"/>
          <w:sz w:val="32"/>
          <w:szCs w:val="32"/>
        </w:rPr>
        <w:t>北京经济技术开发区促进绿色低碳高质量发展若干措施</w:t>
      </w:r>
      <w:r>
        <w:rPr>
          <w:rFonts w:hint="eastAsia" w:ascii="仿宋_GB2312" w:hAnsi="仿宋_GB2312" w:eastAsia="仿宋_GB2312" w:cs="仿宋_GB2312"/>
          <w:bCs/>
          <w:color w:val="000000"/>
          <w:kern w:val="0"/>
          <w:sz w:val="32"/>
          <w:szCs w:val="32"/>
        </w:rPr>
        <w:t>》（京技管发</w:t>
      </w:r>
      <w:r>
        <w:rPr>
          <w:rFonts w:hint="eastAsia" w:ascii="仿宋_GB2312" w:hAnsi="仿宋_GB2312" w:eastAsia="仿宋_GB2312" w:cs="仿宋_GB2312"/>
          <w:bCs/>
          <w:color w:val="303133"/>
          <w:kern w:val="0"/>
          <w:sz w:val="32"/>
          <w:szCs w:val="32"/>
        </w:rPr>
        <w:t>〔</w:t>
      </w:r>
      <w:r>
        <w:rPr>
          <w:rFonts w:hint="eastAsia" w:ascii="仿宋_GB2312" w:hAnsi="仿宋_GB2312" w:eastAsia="仿宋_GB2312" w:cs="仿宋_GB2312"/>
          <w:bCs/>
          <w:color w:val="000000"/>
          <w:kern w:val="0"/>
          <w:sz w:val="32"/>
          <w:szCs w:val="32"/>
        </w:rPr>
        <w:t>2025</w:t>
      </w:r>
      <w:r>
        <w:rPr>
          <w:rFonts w:hint="eastAsia" w:ascii="仿宋_GB2312" w:hAnsi="仿宋_GB2312" w:eastAsia="仿宋_GB2312" w:cs="仿宋_GB2312"/>
          <w:bCs/>
          <w:color w:val="303133"/>
          <w:kern w:val="0"/>
          <w:sz w:val="32"/>
          <w:szCs w:val="32"/>
        </w:rPr>
        <w:t>〕</w:t>
      </w:r>
      <w:r>
        <w:rPr>
          <w:rFonts w:hint="eastAsia" w:ascii="仿宋_GB2312" w:hAnsi="仿宋_GB2312" w:eastAsia="仿宋_GB2312" w:cs="仿宋_GB2312"/>
          <w:bCs/>
          <w:color w:val="000000"/>
          <w:kern w:val="0"/>
          <w:sz w:val="32"/>
          <w:szCs w:val="32"/>
        </w:rPr>
        <w:t>11号）</w:t>
      </w:r>
      <w:r>
        <w:rPr>
          <w:rFonts w:hint="eastAsia" w:ascii="仿宋_GB2312" w:hAnsi="仿宋_GB2312" w:eastAsia="仿宋_GB2312" w:cs="仿宋_GB2312"/>
          <w:bCs/>
          <w:kern w:val="0"/>
          <w:sz w:val="32"/>
          <w:szCs w:val="32"/>
        </w:rPr>
        <w:t>第32条支持措施：</w:t>
      </w:r>
      <w:r>
        <w:rPr>
          <w:rFonts w:hint="eastAsia" w:eastAsia="仿宋_GB2312"/>
          <w:b/>
          <w:bCs/>
          <w:sz w:val="32"/>
        </w:rPr>
        <w:t>碳中和认证</w:t>
      </w:r>
      <w:r>
        <w:rPr>
          <w:rFonts w:hint="eastAsia" w:ascii="仿宋_GB2312" w:hAnsi="仿宋_GB2312" w:eastAsia="仿宋_GB2312" w:cs="仿宋_GB2312"/>
          <w:bCs/>
          <w:kern w:val="0"/>
          <w:sz w:val="32"/>
          <w:szCs w:val="32"/>
        </w:rPr>
        <w:t>。</w:t>
      </w:r>
    </w:p>
    <w:p w14:paraId="3A80106F">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14:paraId="5E03499D">
      <w:pPr>
        <w:spacing w:after="0" w:line="560" w:lineRule="exact"/>
        <w:ind w:firstLine="640" w:firstLineChars="200"/>
        <w:rPr>
          <w:rFonts w:eastAsia="仿宋_GB2312"/>
          <w:sz w:val="32"/>
        </w:rPr>
      </w:pPr>
      <w:r>
        <w:rPr>
          <w:rFonts w:hint="eastAsia" w:eastAsia="仿宋_GB2312"/>
          <w:sz w:val="32"/>
        </w:rPr>
        <w:t>碳中和认证奖励</w:t>
      </w:r>
    </w:p>
    <w:p w14:paraId="3F2BFD54">
      <w:pPr>
        <w:spacing w:after="0" w:line="560" w:lineRule="exact"/>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15A24B92">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（一）申报主体应在亦庄新城225平方公里范围内依法经营，以及新扩区域内赋权管理的企事业单位和园区。</w:t>
      </w:r>
    </w:p>
    <w:p w14:paraId="0E39E188">
      <w:pPr>
        <w:spacing w:after="0"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（二）近三年无重大行政处罚记录、刑事犯罪记录，未被列入严重违法失信主体名单，未发生重大生产安全事故和突发环境事件。</w:t>
      </w:r>
    </w:p>
    <w:p w14:paraId="5D8DC871">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（三）同一单位同一项目符合本政策规定的多个支持方向及经开区其他专项支持政策的，按照从高从优不重复的原则申请支持。</w:t>
      </w:r>
    </w:p>
    <w:p w14:paraId="234F6D12">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（四）本政策属于事后奖励，申报项目原则上须已实施完成。碳核查报告及碳中和证书对应的年份应为2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3年或2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w:t>
      </w:r>
    </w:p>
    <w:p w14:paraId="39181319">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（五）以下项目不列入支持范围：</w:t>
      </w:r>
    </w:p>
    <w:p w14:paraId="6BA16B77">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1.未获得节能审查意见的数据中心项目；</w:t>
      </w:r>
    </w:p>
    <w:p w14:paraId="2AA495B7">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2.使用政府财政资金投资建设的项目。</w:t>
      </w:r>
    </w:p>
    <w:p w14:paraId="07104D19">
      <w:pPr>
        <w:spacing w:after="0" w:line="560" w:lineRule="exact"/>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176A73BA">
      <w:pPr>
        <w:spacing w:after="0" w:line="560" w:lineRule="exact"/>
        <w:ind w:firstLine="640" w:firstLineChars="200"/>
        <w:rPr>
          <w:rFonts w:hint="eastAsia" w:ascii="仿宋_GB2312" w:hAnsi="仿宋_GB2312" w:eastAsia="仿宋_GB2312" w:cs="仿宋_GB2312"/>
          <w:sz w:val="32"/>
          <w:szCs w:val="32"/>
        </w:rPr>
      </w:pPr>
      <w:bookmarkStart w:id="10" w:name="_GoBack"/>
      <w:r>
        <w:rPr>
          <w:rFonts w:hint="eastAsia" w:ascii="仿宋_GB2312" w:hAnsi="仿宋_GB2312" w:eastAsia="仿宋_GB2312" w:cs="仿宋_GB2312"/>
          <w:sz w:val="32"/>
          <w:szCs w:val="32"/>
        </w:rPr>
        <w:t>鼓励企业、园区实施碳达峰和碳中和行动，通过实施光伏、风电、地源热泵、碳汇抵消、绿电绿证交易等措施实现企业、园区、部分厂房或车间净零碳排放。</w:t>
      </w:r>
    </w:p>
    <w:p w14:paraId="69E67086">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获得碳中和认证的规上工业企业，给予50万元奖励，其中自建新能源设施实际发电量应不低于电网购电量的10%；首次获得碳中和认证的限额以上非工业企业，给予50万元奖励，其中自建新能源设施实际发电量应不低于电网购电量的10%，且碳中和年度的电耗在400万度以上；首次获得碳中和认证的城市更新园区，给予50万元奖励，自建新能源设施实际发电量应不低于电网购电量的5%；首次获得部分厂房或车间碳中和认证的重点碳排放单位，给予50万元奖励，其中厂房或车间的自建新能源设施实际发电量应不低于电网购电量的10%，且该厂房或车间碳中和年度的电耗在400万度以上；已获得经开区资金支持的碳中和认证项目，继续按上述要求获得碳中和认证的，给予10万元奖励。</w:t>
      </w:r>
    </w:p>
    <w:p w14:paraId="4877A93C">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所有申报单位需经有资质的碳排放核查企业进行碳核查（具有中国合格评定国家认可委员会（CNAS）官方认证的ISO14064-1组织温室气体声明核查资质）。</w:t>
      </w:r>
    </w:p>
    <w:bookmarkEnd w:id="10"/>
    <w:p w14:paraId="31A4337F">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五、申报材料及要求</w:t>
      </w:r>
    </w:p>
    <w:p w14:paraId="03585AAB">
      <w:pPr>
        <w:spacing w:after="0" w:line="560" w:lineRule="exact"/>
        <w:ind w:firstLine="664" w:firstLineChars="200"/>
        <w:rPr>
          <w:rFonts w:hint="eastAsia" w:ascii="楷体_GB2312" w:hAnsi="仿宋_GB2312" w:eastAsia="楷体_GB2312" w:cs="仿宋_GB2312"/>
          <w:spacing w:val="6"/>
          <w:sz w:val="32"/>
          <w:szCs w:val="32"/>
        </w:rPr>
      </w:pPr>
      <w:r>
        <w:rPr>
          <w:rFonts w:hint="eastAsia" w:ascii="楷体_GB2312" w:hAnsi="仿宋_GB2312" w:eastAsia="楷体_GB2312" w:cs="仿宋_GB2312"/>
          <w:spacing w:val="6"/>
          <w:sz w:val="32"/>
          <w:szCs w:val="32"/>
        </w:rPr>
        <w:t>（一）申报材料</w:t>
      </w:r>
    </w:p>
    <w:p w14:paraId="6F9B0931">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1.碳中和认证奖励申报表，在线填写；</w:t>
      </w:r>
    </w:p>
    <w:p w14:paraId="29BC8A0C">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4108C1E8">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r>
        <w:rPr>
          <w:rFonts w:hint="eastAsia" w:ascii="仿宋_GB2312" w:hAnsi="仿宋_GB2312" w:eastAsia="仿宋_GB2312" w:cs="仿宋_GB2312"/>
          <w:spacing w:val="6"/>
          <w:sz w:val="32"/>
          <w:szCs w:val="32"/>
        </w:rPr>
        <w:t>；</w:t>
      </w:r>
    </w:p>
    <w:p w14:paraId="0803A911">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r>
        <w:rPr>
          <w:rFonts w:hint="eastAsia" w:ascii="仿宋_GB2312" w:hAnsi="仿宋_GB2312" w:eastAsia="仿宋_GB2312" w:cs="仿宋_GB2312"/>
          <w:spacing w:val="6"/>
          <w:sz w:val="32"/>
          <w:szCs w:val="32"/>
        </w:rPr>
        <w:t>；</w:t>
      </w:r>
    </w:p>
    <w:p w14:paraId="0F79A51B">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5.提供具有ISO14064-1组织温室气体核查资质的单位出具的温室气体核查报告及第三方机构出具的碳中和证书，原件彩色扫描上传。</w:t>
      </w:r>
    </w:p>
    <w:p w14:paraId="48BFAB90">
      <w:pPr>
        <w:spacing w:after="0" w:line="560" w:lineRule="exact"/>
        <w:ind w:firstLine="664" w:firstLineChars="200"/>
        <w:rPr>
          <w:rFonts w:hint="eastAsia" w:ascii="楷体_GB2312" w:hAnsi="仿宋_GB2312" w:eastAsia="楷体_GB2312" w:cs="仿宋_GB2312"/>
          <w:spacing w:val="6"/>
          <w:sz w:val="32"/>
          <w:szCs w:val="32"/>
        </w:rPr>
      </w:pPr>
      <w:r>
        <w:rPr>
          <w:rFonts w:hint="eastAsia" w:ascii="楷体_GB2312" w:hAnsi="仿宋_GB2312" w:eastAsia="楷体_GB2312" w:cs="仿宋_GB2312"/>
          <w:spacing w:val="6"/>
          <w:sz w:val="32"/>
          <w:szCs w:val="32"/>
        </w:rPr>
        <w:t>（二）打印纸质材料要求</w:t>
      </w:r>
    </w:p>
    <w:p w14:paraId="7C259A56">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收到打印纸质材料短信通知后，在3个工作日内从平台下载带水印全套申报材料进行打印，一式两份有序装订（整本首页、骑缝盖章），其中银行账户信息无需装订，加盖公章，一并递交至受理窗口。</w:t>
      </w:r>
    </w:p>
    <w:p w14:paraId="499ECC14">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六、办理程序</w:t>
      </w:r>
    </w:p>
    <w:p w14:paraId="6C07F866">
      <w:pPr>
        <w:pStyle w:val="10"/>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bookmarkStart w:id="4" w:name="_Hlk199410970"/>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14:paraId="08D158CB">
      <w:pPr>
        <w:pStyle w:val="10"/>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62482169">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经济发展局对</w:t>
      </w:r>
      <w:r>
        <w:rPr>
          <w:rFonts w:hint="eastAsia" w:ascii="仿宋_GB2312" w:hAnsi="仿宋_GB2312" w:eastAsia="仿宋_GB2312" w:cs="仿宋_GB2312"/>
          <w:color w:val="000000"/>
          <w:kern w:val="2"/>
          <w:sz w:val="32"/>
          <w:szCs w:val="32"/>
        </w:rPr>
        <w:t>申报材料进行实质审核。</w:t>
      </w:r>
    </w:p>
    <w:p w14:paraId="0436A5CB">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3F831EC2">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经开区经济发展局组织专家线下对申报材料进行评审，同时勘察现场，评审后将结果上传到系统。</w:t>
      </w:r>
    </w:p>
    <w:p w14:paraId="243FD34B">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bookmarkStart w:id="5" w:name="_Hlk153750393"/>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确定支持结果</w:t>
      </w:r>
      <w:r>
        <w:rPr>
          <w:rFonts w:hint="eastAsia" w:ascii="仿宋_GB2312" w:hAnsi="仿宋_GB2312" w:eastAsia="仿宋_GB2312" w:cs="仿宋_GB2312"/>
          <w:color w:val="000000"/>
          <w:kern w:val="2"/>
          <w:sz w:val="32"/>
          <w:szCs w:val="32"/>
        </w:rPr>
        <w:t>：经开区经济发展局</w:t>
      </w:r>
      <w:r>
        <w:rPr>
          <w:rFonts w:hint="eastAsia" w:ascii="仿宋_GB2312" w:hAnsi="仿宋_GB2312" w:eastAsia="仿宋_GB2312" w:cs="仿宋_GB2312"/>
          <w:color w:val="000000"/>
          <w:sz w:val="32"/>
          <w:szCs w:val="32"/>
        </w:rPr>
        <w:t>对审核通过的申报主体拟定兑现扶持奖励金额</w:t>
      </w:r>
      <w:r>
        <w:rPr>
          <w:rFonts w:hint="eastAsia" w:ascii="仿宋_GB2312" w:hAnsi="仿宋_GB2312" w:eastAsia="仿宋_GB2312" w:cs="仿宋_GB2312"/>
          <w:color w:val="000000"/>
          <w:kern w:val="2"/>
          <w:sz w:val="32"/>
          <w:szCs w:val="32"/>
        </w:rPr>
        <w:t>。</w:t>
      </w:r>
    </w:p>
    <w:bookmarkEnd w:id="5"/>
    <w:p w14:paraId="3F999D6B">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：经开区经济发展局通过政策兑现综合服务平台对审核通过的申报主体进行公示。</w:t>
      </w:r>
    </w:p>
    <w:p w14:paraId="0338DC0E">
      <w:pPr>
        <w:pStyle w:val="10"/>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bookmarkEnd w:id="4"/>
    <w:p w14:paraId="375EB1D2">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七、主责部门</w:t>
      </w:r>
    </w:p>
    <w:p w14:paraId="46D889A0">
      <w:pPr>
        <w:spacing w:after="0" w:line="560" w:lineRule="exact"/>
        <w:ind w:firstLine="640" w:firstLineChars="200"/>
        <w:rPr>
          <w:rFonts w:hint="eastAsia" w:ascii="仿宋_GB2312" w:hAnsi="仿宋_GB2312" w:eastAsia="仿宋_GB2312" w:cs="仿宋_GB2312"/>
          <w:b/>
          <w:bCs/>
          <w:sz w:val="32"/>
          <w:szCs w:val="32"/>
        </w:rPr>
      </w:pPr>
      <w:r>
        <w:rPr>
          <w:rFonts w:hint="eastAsia" w:ascii="仿宋_GB2312" w:hAnsi="黑体" w:eastAsia="仿宋_GB2312"/>
          <w:color w:val="000000"/>
          <w:sz w:val="32"/>
          <w:szCs w:val="32"/>
        </w:rPr>
        <w:t>经开区经济发展局</w:t>
      </w:r>
    </w:p>
    <w:p w14:paraId="7C24A2C7">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八、受理窗口</w:t>
      </w:r>
    </w:p>
    <w:p w14:paraId="24859C76">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34D0318F">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九、申报时间</w:t>
      </w:r>
    </w:p>
    <w:p w14:paraId="320A1ADC">
      <w:pPr>
        <w:spacing w:after="0" w:line="560" w:lineRule="exact"/>
        <w:ind w:firstLine="640" w:firstLineChars="200"/>
        <w:rPr>
          <w:rFonts w:hint="eastAsia" w:ascii="仿宋_GB2312" w:hAnsi="仿宋_GB2312" w:eastAsia="仿宋_GB2312" w:cs="仿宋_GB2312"/>
          <w:sz w:val="32"/>
          <w:szCs w:val="32"/>
        </w:rPr>
      </w:pPr>
      <w:bookmarkStart w:id="6" w:name="_Hlk199410994"/>
      <w:r>
        <w:rPr>
          <w:rFonts w:hint="eastAsia" w:ascii="仿宋_GB2312" w:hAnsi="仿宋_GB2312" w:eastAsia="仿宋_GB2312" w:cs="仿宋_GB2312"/>
          <w:sz w:val="32"/>
          <w:szCs w:val="32"/>
        </w:rPr>
        <w:t>2025年8月7日至2025年9月30日</w:t>
      </w:r>
    </w:p>
    <w:bookmarkEnd w:id="6"/>
    <w:p w14:paraId="48B53094">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十、联系人及联系方式</w:t>
      </w:r>
    </w:p>
    <w:p w14:paraId="6A15829E">
      <w:pPr>
        <w:spacing w:after="0" w:line="560" w:lineRule="exact"/>
        <w:ind w:firstLine="629"/>
        <w:rPr>
          <w:rFonts w:hint="eastAsia" w:ascii="楷体_GB2312" w:hAnsi="楷体" w:eastAsia="楷体_GB2312"/>
          <w:sz w:val="32"/>
        </w:rPr>
      </w:pPr>
      <w:bookmarkStart w:id="7" w:name="_Hlk153481575"/>
      <w:bookmarkStart w:id="8" w:name="_Hlk153750265"/>
      <w:r>
        <w:rPr>
          <w:rFonts w:hint="eastAsia" w:ascii="楷体_GB2312" w:hAnsi="楷体" w:eastAsia="楷体_GB2312"/>
          <w:sz w:val="32"/>
        </w:rPr>
        <w:t>政策咨询</w:t>
      </w:r>
    </w:p>
    <w:bookmarkEnd w:id="7"/>
    <w:p w14:paraId="5640D3F8">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1010B281">
      <w:pPr>
        <w:spacing w:after="0" w:line="560" w:lineRule="exact"/>
        <w:ind w:firstLine="640" w:firstLineChars="200"/>
        <w:rPr>
          <w:rFonts w:eastAsia="仿宋_GB2312"/>
          <w:sz w:val="32"/>
          <w:szCs w:val="32"/>
        </w:rPr>
      </w:pPr>
      <w:r>
        <w:rPr>
          <w:rFonts w:hint="eastAsia" w:eastAsia="仿宋_GB2312"/>
          <w:sz w:val="32"/>
          <w:szCs w:val="32"/>
        </w:rPr>
        <w:t>经开区经济发展局</w:t>
      </w:r>
      <w:r>
        <w:rPr>
          <w:rFonts w:hint="eastAsia" w:ascii="仿宋_GB2312" w:hAnsi="仿宋_GB2312" w:eastAsia="仿宋_GB2312" w:cs="仿宋_GB2312"/>
          <w:sz w:val="32"/>
          <w:szCs w:val="32"/>
        </w:rPr>
        <w:t>，联系电话：010-67882073，工作日上午9:00—12:00，下午2:00—6:00。</w:t>
      </w:r>
    </w:p>
    <w:p w14:paraId="6B9CB76F">
      <w:pPr>
        <w:spacing w:after="0" w:line="560" w:lineRule="exact"/>
        <w:ind w:firstLine="629"/>
        <w:rPr>
          <w:rFonts w:hint="eastAsia" w:ascii="楷体_GB2312" w:hAnsi="楷体" w:eastAsia="楷体_GB2312"/>
          <w:sz w:val="32"/>
        </w:rPr>
      </w:pPr>
      <w:bookmarkStart w:id="9" w:name="_Hlk153481583"/>
      <w:r>
        <w:rPr>
          <w:rFonts w:hint="eastAsia" w:ascii="楷体_GB2312" w:hAnsi="楷体" w:eastAsia="楷体_GB2312"/>
          <w:sz w:val="32"/>
        </w:rPr>
        <w:t>技术支持</w:t>
      </w:r>
    </w:p>
    <w:bookmarkEnd w:id="9"/>
    <w:p w14:paraId="7635FC7B">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bookmarkEnd w:id="8"/>
    <w:p w14:paraId="1023EEE7">
      <w:pPr>
        <w:spacing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4D90BCE7">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44ABD178">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十二、特别说明</w:t>
      </w:r>
    </w:p>
    <w:bookmarkEnd w:id="0"/>
    <w:bookmarkEnd w:id="1"/>
    <w:bookmarkEnd w:id="2"/>
    <w:bookmarkEnd w:id="3"/>
    <w:p w14:paraId="0E8FC37C">
      <w:pPr>
        <w:spacing w:after="0" w:line="560" w:lineRule="exact"/>
        <w:ind w:firstLine="640" w:firstLineChars="200"/>
      </w:pPr>
      <w:r>
        <w:rPr>
          <w:rFonts w:hint="eastAsia" w:ascii="仿宋_GB2312" w:hAnsi="仿宋_GB2312" w:eastAsia="仿宋_GB2312" w:cs="仿宋_GB2312"/>
          <w:sz w:val="32"/>
          <w:szCs w:val="32"/>
        </w:rPr>
        <w:t>无</w:t>
      </w:r>
    </w:p>
    <w:sectPr>
      <w:footerReference r:id="rId5"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sz w:val="24"/>
        <w:szCs w:val="24"/>
      </w:rPr>
    </w:sdtEndPr>
    <w:sdtContent>
      <w:p w14:paraId="5FA63FF3">
        <w:pPr>
          <w:pStyle w:val="8"/>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p w14:paraId="07F030F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N2NlNmJkOTcyMGNlM2M2NTkxZWZhZjhjMWVkZjEifQ=="/>
  </w:docVars>
  <w:rsids>
    <w:rsidRoot w:val="007F4437"/>
    <w:rsid w:val="00001B93"/>
    <w:rsid w:val="001733C6"/>
    <w:rsid w:val="00241AA7"/>
    <w:rsid w:val="00326952"/>
    <w:rsid w:val="0035388B"/>
    <w:rsid w:val="00377084"/>
    <w:rsid w:val="003D4B25"/>
    <w:rsid w:val="00401321"/>
    <w:rsid w:val="00515DF7"/>
    <w:rsid w:val="005760CE"/>
    <w:rsid w:val="00594C57"/>
    <w:rsid w:val="005B4DE5"/>
    <w:rsid w:val="006152EF"/>
    <w:rsid w:val="006673A3"/>
    <w:rsid w:val="006F737B"/>
    <w:rsid w:val="00752869"/>
    <w:rsid w:val="007F4437"/>
    <w:rsid w:val="00801EB6"/>
    <w:rsid w:val="008A40A5"/>
    <w:rsid w:val="00911DA0"/>
    <w:rsid w:val="009E22BF"/>
    <w:rsid w:val="009E4D6A"/>
    <w:rsid w:val="00B612EF"/>
    <w:rsid w:val="00B72A33"/>
    <w:rsid w:val="00B93A44"/>
    <w:rsid w:val="00BA141A"/>
    <w:rsid w:val="00C73799"/>
    <w:rsid w:val="00C80C18"/>
    <w:rsid w:val="00C82AA4"/>
    <w:rsid w:val="00CB6E0F"/>
    <w:rsid w:val="00CC329C"/>
    <w:rsid w:val="00CC425A"/>
    <w:rsid w:val="00D64AA3"/>
    <w:rsid w:val="00D73565"/>
    <w:rsid w:val="00DD48C8"/>
    <w:rsid w:val="00E531AD"/>
    <w:rsid w:val="00E92F57"/>
    <w:rsid w:val="00F13CB7"/>
    <w:rsid w:val="00F35CE3"/>
    <w:rsid w:val="00F672C0"/>
    <w:rsid w:val="00F83D28"/>
    <w:rsid w:val="00FB01E1"/>
    <w:rsid w:val="00FC4329"/>
    <w:rsid w:val="02003325"/>
    <w:rsid w:val="0241005E"/>
    <w:rsid w:val="055720EA"/>
    <w:rsid w:val="05701363"/>
    <w:rsid w:val="05D21D0E"/>
    <w:rsid w:val="088F62D0"/>
    <w:rsid w:val="08A2799E"/>
    <w:rsid w:val="1183680A"/>
    <w:rsid w:val="153304B1"/>
    <w:rsid w:val="18C74901"/>
    <w:rsid w:val="1AE25B8C"/>
    <w:rsid w:val="1BCE7D1D"/>
    <w:rsid w:val="1C84373B"/>
    <w:rsid w:val="20093926"/>
    <w:rsid w:val="23F35AE0"/>
    <w:rsid w:val="24946176"/>
    <w:rsid w:val="267F47A9"/>
    <w:rsid w:val="29B572E1"/>
    <w:rsid w:val="2C6A1831"/>
    <w:rsid w:val="2CC72546"/>
    <w:rsid w:val="2DBC3361"/>
    <w:rsid w:val="35044A71"/>
    <w:rsid w:val="359F76AC"/>
    <w:rsid w:val="35B53FBD"/>
    <w:rsid w:val="36903C19"/>
    <w:rsid w:val="36E050F9"/>
    <w:rsid w:val="36E3093F"/>
    <w:rsid w:val="36F23C47"/>
    <w:rsid w:val="37D449E8"/>
    <w:rsid w:val="384E3268"/>
    <w:rsid w:val="385143A2"/>
    <w:rsid w:val="3D457863"/>
    <w:rsid w:val="3DAB57E6"/>
    <w:rsid w:val="3F016A58"/>
    <w:rsid w:val="3F7C7A9E"/>
    <w:rsid w:val="40660DE4"/>
    <w:rsid w:val="40D16CFC"/>
    <w:rsid w:val="42A761FE"/>
    <w:rsid w:val="46E93650"/>
    <w:rsid w:val="49F2635D"/>
    <w:rsid w:val="4BC4671E"/>
    <w:rsid w:val="50EE34A1"/>
    <w:rsid w:val="513D1DBF"/>
    <w:rsid w:val="516627E1"/>
    <w:rsid w:val="52E46243"/>
    <w:rsid w:val="549B0E14"/>
    <w:rsid w:val="561817EF"/>
    <w:rsid w:val="57445DDD"/>
    <w:rsid w:val="5756319C"/>
    <w:rsid w:val="587909A1"/>
    <w:rsid w:val="5AE25C32"/>
    <w:rsid w:val="5BB5250C"/>
    <w:rsid w:val="5ECA2E3C"/>
    <w:rsid w:val="616D3BE9"/>
    <w:rsid w:val="61BB243B"/>
    <w:rsid w:val="63CD67F3"/>
    <w:rsid w:val="642D2821"/>
    <w:rsid w:val="65434D47"/>
    <w:rsid w:val="66391A55"/>
    <w:rsid w:val="68AC6419"/>
    <w:rsid w:val="6C7B6AC8"/>
    <w:rsid w:val="6D5F69B8"/>
    <w:rsid w:val="6F154FDE"/>
    <w:rsid w:val="6F8312B7"/>
    <w:rsid w:val="70645C84"/>
    <w:rsid w:val="70E27808"/>
    <w:rsid w:val="749E4BB9"/>
    <w:rsid w:val="7A83519C"/>
    <w:rsid w:val="7B6A5853"/>
    <w:rsid w:val="7D4C1DF4"/>
    <w:rsid w:val="7DB87774"/>
    <w:rsid w:val="7E9A4FD7"/>
    <w:rsid w:val="7F0843B7"/>
    <w:rsid w:val="DF7F25C9"/>
    <w:rsid w:val="E77E61BB"/>
    <w:rsid w:val="EDECCD17"/>
    <w:rsid w:val="F9F50204"/>
    <w:rsid w:val="FBEF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ind w:firstLine="629"/>
      <w:outlineLvl w:val="0"/>
    </w:pPr>
    <w:rPr>
      <w:rFonts w:eastAsia="黑体"/>
      <w:b/>
      <w:kern w:val="44"/>
    </w:rPr>
  </w:style>
  <w:style w:type="paragraph" w:styleId="4">
    <w:name w:val="heading 2"/>
    <w:basedOn w:val="1"/>
    <w:next w:val="1"/>
    <w:semiHidden/>
    <w:unhideWhenUsed/>
    <w:qFormat/>
    <w:uiPriority w:val="0"/>
    <w:pPr>
      <w:keepNext/>
      <w:keepLines/>
      <w:spacing w:line="560" w:lineRule="exact"/>
      <w:outlineLvl w:val="1"/>
    </w:pPr>
    <w:rPr>
      <w:rFonts w:ascii="Arial" w:hAnsi="Arial" w:eastAsia="楷体_GB2312"/>
    </w:rPr>
  </w:style>
  <w:style w:type="paragraph" w:styleId="5">
    <w:name w:val="heading 3"/>
    <w:basedOn w:val="1"/>
    <w:next w:val="1"/>
    <w:link w:val="14"/>
    <w:semiHidden/>
    <w:unhideWhenUsed/>
    <w:qFormat/>
    <w:uiPriority w:val="0"/>
    <w:pPr>
      <w:keepNext/>
      <w:keepLines/>
      <w:spacing w:line="560" w:lineRule="exact"/>
      <w:outlineLvl w:val="2"/>
    </w:pPr>
  </w:style>
  <w:style w:type="paragraph" w:styleId="2">
    <w:name w:val="heading 4"/>
    <w:basedOn w:val="1"/>
    <w:next w:val="1"/>
    <w:link w:val="15"/>
    <w:semiHidden/>
    <w:unhideWhenUsed/>
    <w:qFormat/>
    <w:uiPriority w:val="0"/>
    <w:pPr>
      <w:keepNext/>
      <w:keepLines/>
      <w:spacing w:line="560" w:lineRule="exact"/>
      <w:outlineLvl w:val="3"/>
    </w:pPr>
    <w:rPr>
      <w:rFonts w:ascii="Cambria" w:hAnsi="Cambria" w:eastAsia="仿宋_GB2312" w:cstheme="minorBidi"/>
      <w:b/>
      <w:bCs/>
      <w:sz w:val="32"/>
      <w:szCs w:val="28"/>
    </w:rPr>
  </w:style>
  <w:style w:type="paragraph" w:styleId="6">
    <w:name w:val="heading 5"/>
    <w:basedOn w:val="1"/>
    <w:next w:val="1"/>
    <w:semiHidden/>
    <w:unhideWhenUsed/>
    <w:qFormat/>
    <w:uiPriority w:val="0"/>
    <w:pPr>
      <w:keepNext/>
      <w:keepLines/>
      <w:spacing w:line="560" w:lineRule="exact"/>
      <w:outlineLvl w:val="4"/>
    </w:pPr>
    <w:rPr>
      <w:rFonts w:eastAsia="仿宋_GB2312"/>
      <w:b/>
      <w:sz w:val="32"/>
      <w:szCs w:val="2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rFonts w:ascii="仿宋_GB2312" w:hAnsi="仿宋_GB2312" w:eastAsia="仿宋_GB2312" w:cs="仿宋_GB2312"/>
      <w:sz w:val="32"/>
      <w:szCs w:val="32"/>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customStyle="1" w:styleId="13">
    <w:name w:val="网格型1"/>
    <w:basedOn w:val="1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3 字符"/>
    <w:link w:val="5"/>
    <w:qFormat/>
    <w:uiPriority w:val="0"/>
  </w:style>
  <w:style w:type="character" w:customStyle="1" w:styleId="15">
    <w:name w:val="标题 4 字符"/>
    <w:link w:val="2"/>
    <w:qFormat/>
    <w:uiPriority w:val="0"/>
    <w:rPr>
      <w:rFonts w:ascii="Cambria" w:hAnsi="Cambria" w:eastAsia="仿宋_GB2312" w:cstheme="minorBidi"/>
      <w:b/>
      <w:bCs/>
      <w:sz w:val="32"/>
      <w:szCs w:val="28"/>
    </w:rPr>
  </w:style>
  <w:style w:type="character" w:customStyle="1" w:styleId="16">
    <w:name w:val="页眉 字符"/>
    <w:basedOn w:val="12"/>
    <w:link w:val="9"/>
    <w:qFormat/>
    <w:uiPriority w:val="0"/>
    <w:rPr>
      <w:rFonts w:ascii="Times New Roman" w:hAnsi="Times New Roman" w:eastAsia="宋体" w:cs="Times New Roman"/>
      <w:kern w:val="2"/>
      <w:sz w:val="18"/>
      <w:szCs w:val="18"/>
    </w:rPr>
  </w:style>
  <w:style w:type="character" w:customStyle="1" w:styleId="17">
    <w:name w:val="页脚 字符"/>
    <w:basedOn w:val="12"/>
    <w:link w:val="8"/>
    <w:qFormat/>
    <w:uiPriority w:val="99"/>
    <w:rPr>
      <w:rFonts w:ascii="Times New Roman" w:hAnsi="Times New Roman" w:eastAsia="宋体" w:cs="Times New Roman"/>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1681</Words>
  <Characters>1881</Characters>
  <Lines>13</Lines>
  <Paragraphs>3</Paragraphs>
  <TotalTime>8</TotalTime>
  <ScaleCrop>false</ScaleCrop>
  <LinksUpToDate>false</LinksUpToDate>
  <CharactersWithSpaces>1891</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2023-12-12T07:06:00Z</dcterms:created>
  <dc:creator>办公用</dc:creator>
  <cp:lastModifiedBy>莲</cp:lastModifiedBy>
  <dcterms:modified xsi:type="dcterms:W3CDTF">2025-08-05T10:14:14Z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318C6C1C9D0592FDA3F67D680D01BE5D</vt:lpwstr>
  </property>
  <property fmtid="{D5CDD505-2E9C-101B-9397-08002B2CF9AE}" pid="4" name="KSOTemplateDocerSaveRecord">
    <vt:lpwstr>eyJoZGlkIjoiMjg5YzlhMmEwMzkxNWIwOTM4YWVjMDEzNTQyYmQ3MzYiLCJ1c2VySWQiOiIxOTg1MDIyODYifQ==</vt:lpwstr>
  </property>
</Properties>
</file>