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仿宋_GB2312" w:hAnsi="仿宋_GB2312" w:eastAsia="仿宋_GB2312" w:cs="仿宋_GB2312"/>
          <w:b/>
          <w:bCs/>
          <w:sz w:val="32"/>
          <w:szCs w:val="32"/>
        </w:rPr>
      </w:pPr>
      <w:r>
        <w:rPr>
          <w:rFonts w:hint="eastAsia" w:ascii="黑体" w:hAnsi="黑体" w:eastAsia="黑体" w:cs="黑体"/>
          <w:spacing w:val="15"/>
          <w:kern w:val="0"/>
          <w:sz w:val="32"/>
          <w:szCs w:val="32"/>
          <w:shd w:val="clear" w:color="auto" w:fill="FFFFFF"/>
        </w:rPr>
        <w:t>附件</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2025年中小企业空间载体支持办事指南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sz w:val="32"/>
          <w:szCs w:val="32"/>
        </w:rPr>
        <w:t>一、政策依据</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《北京经济技术开发区关于进一步激发创新活力 打造高精尖产业主阵地的若干意见》中第（九）条，实施中小企业“春笋”行动，强化空间载体支持。鼓励孵化器、科技园区等各类产业载体围绕中小企业发展特点，分层次予以空间载体支持，配套提供成果转化、资金对接、企业孵化、产业融通等赋能服务，降低企业运营成本，助力企业专精特新发展。对符合经开区产业方向、创新能力强、发展效益好的科技型中小企业，人数少于100人以及超过100人（含100人）的，经认定，按照最高1.5元/平方米/天，总面积分别不超过1000平方米、2000平方米的标准给予最长连续3年支持；租金低于1.5元/平方米/天或承租面积少于最高标准的，按照实际租金单价和承租面积计算。</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2025年中小企业空间载体支持</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三、申报条件</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（一）亦庄新城225平方公里范围内依法经营，近3年（2022年1月1日至2024年12月31日）无重大行政处罚记录和刑事犯罪记录，未列入严重违法失信主体名单</w:t>
      </w:r>
      <w:r>
        <w:rPr>
          <w:rFonts w:hint="eastAsia" w:ascii="仿宋_GB2312" w:eastAsia="仿宋_GB2312"/>
          <w:sz w:val="32"/>
          <w:szCs w:val="32"/>
        </w:rPr>
        <w:t>的企事业单位及社会组织</w:t>
      </w:r>
      <w:r>
        <w:rPr>
          <w:rFonts w:hint="eastAsia" w:ascii="仿宋_GB2312" w:hAnsi="仿宋_GB2312" w:eastAsia="仿宋_GB2312" w:cs="仿宋_GB2312"/>
          <w:bCs/>
          <w:kern w:val="0"/>
          <w:sz w:val="32"/>
          <w:szCs w:val="32"/>
        </w:rPr>
        <w:t>；</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bCs/>
          <w:kern w:val="0"/>
          <w:sz w:val="32"/>
          <w:szCs w:val="32"/>
        </w:rPr>
        <w:t>（二）</w:t>
      </w:r>
      <w:r>
        <w:rPr>
          <w:rFonts w:hint="eastAsia" w:ascii="仿宋_GB2312" w:eastAsia="仿宋_GB2312"/>
          <w:sz w:val="32"/>
          <w:szCs w:val="32"/>
        </w:rPr>
        <w:t>经认定符合条件的科技型中小企业，且行业分类属于工业、信息服务业或者科技服务业其中之一；</w:t>
      </w:r>
    </w:p>
    <w:p>
      <w:pPr>
        <w:pStyle w:val="5"/>
        <w:spacing w:line="560" w:lineRule="exact"/>
        <w:ind w:left="0" w:leftChars="0" w:firstLine="640" w:firstLineChars="200"/>
        <w:rPr>
          <w:rFonts w:eastAsia="仿宋_GB2312"/>
        </w:rPr>
      </w:pPr>
      <w:r>
        <w:rPr>
          <w:rFonts w:hint="eastAsia" w:ascii="仿宋_GB2312" w:hAnsi="仿宋_GB2312" w:eastAsia="仿宋_GB2312" w:cs="仿宋_GB2312"/>
          <w:sz w:val="32"/>
          <w:szCs w:val="32"/>
        </w:rPr>
        <w:t>（三）申报主体原则上应为2022年1月1日后（含1月1日）在亦庄新城225平方公里范围内注册的企业。</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四、支持内容及标准</w:t>
      </w:r>
    </w:p>
    <w:p>
      <w:pPr>
        <w:autoSpaceDE w:val="0"/>
        <w:autoSpaceDN w:val="0"/>
        <w:adjustRightInd w:val="0"/>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（一）</w:t>
      </w:r>
      <w:r>
        <w:rPr>
          <w:rFonts w:hint="eastAsia" w:ascii="仿宋_GB2312" w:eastAsia="仿宋_GB2312"/>
          <w:sz w:val="32"/>
          <w:szCs w:val="32"/>
        </w:rPr>
        <w:t>从企业资质、技术创新能力、科技成果产出、市场竞争能力、企业发展潜力等五个方面对申报企业进行打分，对于得分在60分以上且综合排名在前1000名的企业给予租金支持：</w:t>
      </w:r>
      <w:r>
        <w:rPr>
          <w:rFonts w:hint="eastAsia" w:ascii="仿宋_GB2312" w:hAnsi="仿宋_GB2312" w:eastAsia="仿宋_GB2312" w:cs="仿宋_GB2312"/>
          <w:sz w:val="32"/>
          <w:szCs w:val="32"/>
        </w:rPr>
        <w:t>人数少于100人的，总面积不超过1000平米；超过100人（含100人）的，总面积不超过2000平方米。</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（二）本事项涉及房租支持为2024年1月1日至2024年12月31日。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（三）补贴标准为实际租金单价的50%，最高不超过1.5元/平方米/天。租金低于1.5元/平方米/天或承租面积少于最高标准的，按照实际租金单价和承租面积计算。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（四）补贴金额以万元为单位，保留一位小数，低于1万元不予兑现，不足千元部分舍去。</w:t>
      </w:r>
    </w:p>
    <w:p>
      <w:pPr>
        <w:pStyle w:val="3"/>
        <w:spacing w:line="560" w:lineRule="exact"/>
        <w:ind w:firstLine="640"/>
        <w:rPr>
          <w:rFonts w:hint="eastAsia" w:ascii="黑体" w:hAnsi="黑体" w:eastAsia="黑体" w:cs="黑体"/>
        </w:rPr>
      </w:pPr>
      <w:r>
        <w:rPr>
          <w:rFonts w:hint="eastAsia" w:ascii="黑体" w:hAnsi="黑体" w:eastAsia="黑体" w:cs="黑体"/>
        </w:rPr>
        <w:t>五、申报材料及要求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1.2025年中小企业空间载体支持申报表，在线填写；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4.银行账户信息，下载模板填写，</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autoSpaceDE w:val="0"/>
        <w:autoSpaceDN w:val="0"/>
        <w:adjustRightInd w:val="0"/>
        <w:spacing w:line="560" w:lineRule="exact"/>
        <w:ind w:firstLine="664" w:firstLineChars="200"/>
        <w:rPr>
          <w:rFonts w:ascii="仿宋_GB2312" w:eastAsia="仿宋_GB2312"/>
          <w:sz w:val="32"/>
          <w:szCs w:val="32"/>
        </w:rPr>
      </w:pPr>
      <w:r>
        <w:rPr>
          <w:rFonts w:hint="eastAsia" w:ascii="仿宋_GB2312" w:hAnsi="仿宋_GB2312" w:eastAsia="仿宋_GB2312" w:cs="仿宋_GB2312"/>
          <w:spacing w:val="6"/>
          <w:sz w:val="32"/>
          <w:szCs w:val="32"/>
        </w:rPr>
        <w:t>5.</w:t>
      </w:r>
      <w:r>
        <w:rPr>
          <w:rFonts w:hint="eastAsia" w:ascii="仿宋_GB2312" w:eastAsia="仿宋_GB2312"/>
          <w:sz w:val="32"/>
          <w:szCs w:val="32"/>
        </w:rPr>
        <w:t>2024年《北京市社会保险个人权益记录（单位职工缴费信息）》，原件彩色扫描上传；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6.2024年房租计算说明、2024年房租合同、发票等相关证明材料，其中2024年房租计算说明需下载模板填写，加盖公章，彩色扫描上传；合同、发票等相关证明需原件彩色扫描上传；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7.2023年、2024年财务审计报告（需包含研发情况），原件彩色扫描上传；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8.2024年在有效期内的相关资质（科技型中小企业、国高新、专精特新等省级、国家级资质等）、荣誉等证明材料，原件彩色扫描上传；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9.2022年至2024年承担国家级、省级课题项目证明材料，原件彩色扫描上传；（国家级项目是指工业和信息化部、科技部、国家发展改革委等国家部委以及国家自然科学基金等委托的课题项目。省级项目是指由省一级地方政府部门委托的课题项目。涉密项目材料不可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10.2022年至2024年取得的发明专利、软著证书、PCT国际专利、中国专利奖、参与制定国家或行业标准证明材料等，原件彩色扫描上传；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11.2022年至2024年获得股权融资证明材料，原件彩色扫描上传；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12.2024年硕士、博士研究生学历员工数量占研发人员总数比例相关情况的报告，</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eastAsia="仿宋_GB2312"/>
          <w:sz w:val="32"/>
          <w:szCs w:val="32"/>
        </w:rPr>
        <w:t>；</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13.有效期包含2024年的院士工作站协议、核心团队中包含院士的证明材料及各类人才（QM计划人才、长江学者、杰出青年学者等高层次人才）认定证书材料等，原件彩色扫描上传；</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14.2022年至2024年产学研合作证明材料，原件彩色扫描上传。</w:t>
      </w:r>
    </w:p>
    <w:p>
      <w:pPr>
        <w:spacing w:line="560" w:lineRule="exact"/>
        <w:ind w:firstLine="640" w:firstLineChars="200"/>
        <w:rPr>
          <w:rFonts w:hint="eastAsia" w:ascii="仿宋_GB2312" w:hAnsi="仿宋_GB2312" w:eastAsia="仿宋_GB2312" w:cs="仿宋_GB2312"/>
          <w:spacing w:val="6"/>
          <w:sz w:val="32"/>
          <w:szCs w:val="32"/>
        </w:rPr>
      </w:pPr>
      <w:r>
        <w:rPr>
          <w:rFonts w:hint="eastAsia" w:ascii="仿宋_GB2312" w:eastAsia="仿宋_GB2312"/>
          <w:sz w:val="32"/>
          <w:szCs w:val="32"/>
        </w:rPr>
        <w:t>其中，第1至7项材料必须提供，第8至第14项材料根据申报单位实际情况提供。</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网上申报</w:t>
      </w:r>
      <w:r>
        <w:rPr>
          <w:rFonts w:hint="eastAsia" w:ascii="仿宋_GB2312" w:hAnsi="仿宋_GB2312" w:eastAsia="仿宋_GB2312" w:cs="仿宋_GB2312"/>
          <w:sz w:val="32"/>
          <w:szCs w:val="32"/>
        </w:rPr>
        <w:t>：</w:t>
      </w:r>
      <w:bookmarkStart w:id="0" w:name="_Hlk192779400"/>
      <w:r>
        <w:rPr>
          <w:rFonts w:hint="eastAsia" w:ascii="仿宋_GB2312" w:hAnsi="仿宋_GB2312" w:eastAsia="仿宋_GB2312" w:cs="仿宋_GB2312"/>
          <w:sz w:val="32"/>
          <w:szCs w:val="32"/>
        </w:rPr>
        <w:t>通过北京市人民政府门户网站“政策兑现”栏目(https://zhengce.beijing.gov.cn)或经开区官网“政策兑现”栏目(zcdx.kfqgw.beijing.gov.cn)进入政策兑现综合服务平台</w:t>
      </w:r>
      <w:bookmarkEnd w:id="0"/>
      <w:r>
        <w:rPr>
          <w:rFonts w:hint="eastAsia" w:ascii="仿宋_GB2312" w:hAnsi="仿宋_GB2312" w:eastAsia="仿宋_GB2312" w:cs="仿宋_GB2312"/>
          <w:sz w:val="32"/>
          <w:szCs w:val="32"/>
        </w:rPr>
        <w:t>，注册登录后进行项目申报。如未在规定时间内提交申请的，视为自动放弃。</w:t>
      </w:r>
    </w:p>
    <w:p>
      <w:pPr>
        <w:pStyle w:val="9"/>
        <w:numPr>
          <w:ilvl w:val="255"/>
          <w:numId w:val="0"/>
        </w:numPr>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b/>
          <w:bCs/>
          <w:kern w:val="2"/>
          <w:sz w:val="32"/>
          <w:szCs w:val="32"/>
        </w:rPr>
        <w:t>初审</w:t>
      </w:r>
      <w:r>
        <w:rPr>
          <w:rFonts w:hint="eastAsia" w:ascii="仿宋_GB2312" w:hAnsi="仿宋_GB2312" w:eastAsia="仿宋_GB2312" w:cs="仿宋_GB2312"/>
          <w:kern w:val="2"/>
          <w:sz w:val="32"/>
          <w:szCs w:val="32"/>
        </w:rPr>
        <w:t>：经开区营商环境建设局对申报主体提交的材料进行完整性审查，材料不齐全或不符合要求的，告知申报主体补齐补正。</w:t>
      </w:r>
    </w:p>
    <w:p>
      <w:pPr>
        <w:pStyle w:val="9"/>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b/>
          <w:bCs/>
          <w:kern w:val="2"/>
          <w:sz w:val="32"/>
          <w:szCs w:val="32"/>
        </w:rPr>
        <w:t>审核</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科技和产业促进局</w:t>
      </w:r>
      <w:r>
        <w:rPr>
          <w:rFonts w:hint="eastAsia" w:ascii="仿宋_GB2312" w:hAnsi="仿宋_GB2312" w:eastAsia="仿宋_GB2312" w:cs="仿宋_GB2312"/>
          <w:kern w:val="2"/>
          <w:sz w:val="32"/>
          <w:szCs w:val="32"/>
        </w:rPr>
        <w:t>对申请材料进行实质审核。</w:t>
      </w:r>
    </w:p>
    <w:p>
      <w:pPr>
        <w:pStyle w:val="9"/>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w:t>
      </w:r>
      <w:r>
        <w:rPr>
          <w:rFonts w:hint="eastAsia" w:ascii="仿宋_GB2312" w:hAnsi="仿宋_GB2312" w:eastAsia="仿宋_GB2312" w:cs="仿宋_GB2312"/>
          <w:b/>
          <w:bCs/>
          <w:kern w:val="2"/>
          <w:sz w:val="32"/>
          <w:szCs w:val="32"/>
        </w:rPr>
        <w:t>确定扶持结果</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科技和产业促进局</w:t>
      </w:r>
      <w:r>
        <w:rPr>
          <w:rFonts w:hint="eastAsia" w:ascii="仿宋_GB2312" w:hAnsi="仿宋_GB2312" w:eastAsia="仿宋_GB2312" w:cs="仿宋_GB2312"/>
          <w:kern w:val="2"/>
          <w:sz w:val="32"/>
          <w:szCs w:val="32"/>
        </w:rPr>
        <w:t>对审核通过的申报主体拟定兑现扶持奖励金额。</w:t>
      </w:r>
    </w:p>
    <w:p>
      <w:pPr>
        <w:pStyle w:val="9"/>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w:t>
      </w:r>
      <w:r>
        <w:rPr>
          <w:rFonts w:hint="eastAsia" w:ascii="仿宋_GB2312" w:hAnsi="仿宋_GB2312" w:eastAsia="仿宋_GB2312" w:cs="仿宋_GB2312"/>
          <w:b/>
          <w:bCs/>
          <w:kern w:val="2"/>
          <w:sz w:val="32"/>
          <w:szCs w:val="32"/>
        </w:rPr>
        <w:t>公示</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科技和产业促进局</w:t>
      </w:r>
      <w:r>
        <w:rPr>
          <w:rFonts w:hint="eastAsia" w:ascii="仿宋_GB2312" w:hAnsi="仿宋_GB2312" w:eastAsia="仿宋_GB2312" w:cs="仿宋_GB2312"/>
          <w:kern w:val="2"/>
          <w:sz w:val="32"/>
          <w:szCs w:val="32"/>
        </w:rPr>
        <w:t>通过政策兑现综合服务平台对审核通过的申报主体进行公示。</w:t>
      </w:r>
    </w:p>
    <w:p>
      <w:pPr>
        <w:pStyle w:val="9"/>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（六）</w:t>
      </w:r>
      <w:r>
        <w:rPr>
          <w:rFonts w:hint="eastAsia" w:ascii="仿宋_GB2312" w:hAnsi="仿宋_GB2312" w:eastAsia="仿宋_GB2312" w:cs="仿宋_GB2312"/>
          <w:b/>
          <w:bCs/>
          <w:kern w:val="2"/>
          <w:sz w:val="32"/>
          <w:szCs w:val="32"/>
        </w:rPr>
        <w:t>资金拨付</w:t>
      </w:r>
      <w:r>
        <w:rPr>
          <w:rFonts w:hint="eastAsia" w:ascii="仿宋_GB2312" w:hAnsi="仿宋_GB2312" w:eastAsia="仿宋_GB2312" w:cs="仿宋_GB2312"/>
          <w:kern w:val="2"/>
          <w:sz w:val="32"/>
          <w:szCs w:val="32"/>
        </w:rPr>
        <w:t>：经公示无异议的，完成资金拨付。</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w:t>
      </w:r>
      <w:r>
        <w:rPr>
          <w:rFonts w:hint="eastAsia" w:ascii="仿宋_GB2312" w:hAnsi="仿宋_GB2312" w:eastAsia="仿宋_GB2312" w:cs="仿宋_GB2312"/>
          <w:sz w:val="32"/>
          <w:szCs w:val="32"/>
        </w:rPr>
        <w:t>科技和产业促进局</w:t>
      </w:r>
    </w:p>
    <w:p>
      <w:pPr>
        <w:numPr>
          <w:ilvl w:val="0"/>
          <w:numId w:val="1"/>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2025年8月5日至2025年8月2</w:t>
      </w:r>
      <w:r>
        <w:rPr>
          <w:rFonts w:hint="eastAsia" w:ascii="仿宋_GB2312" w:hAnsi="仿宋_GB2312" w:eastAsia="仿宋_GB2312" w:cs="仿宋_GB2312"/>
          <w:sz w:val="32"/>
          <w:szCs w:val="32"/>
          <w:lang w:val="en-US" w:eastAsia="zh-CN"/>
        </w:rPr>
        <w:t>5</w:t>
      </w:r>
      <w:bookmarkStart w:id="1" w:name="_GoBack"/>
      <w:bookmarkEnd w:id="1"/>
      <w:r>
        <w:rPr>
          <w:rFonts w:hint="eastAsia" w:ascii="仿宋_GB2312" w:hAnsi="仿宋_GB2312" w:eastAsia="仿宋_GB2312" w:cs="仿宋_GB2312"/>
          <w:sz w:val="32"/>
          <w:szCs w:val="32"/>
        </w:rPr>
        <w:t>日</w:t>
      </w:r>
    </w:p>
    <w:p>
      <w:pPr>
        <w:numPr>
          <w:ilvl w:val="255"/>
          <w:numId w:val="0"/>
        </w:numPr>
        <w:spacing w:line="560" w:lineRule="exact"/>
        <w:ind w:firstLine="640" w:firstLineChars="200"/>
        <w:outlineLvl w:val="0"/>
        <w:rPr>
          <w:rFonts w:eastAsia="仿宋_GB2312"/>
          <w:sz w:val="32"/>
          <w:szCs w:val="32"/>
        </w:rPr>
      </w:pPr>
      <w:r>
        <w:rPr>
          <w:rFonts w:hint="eastAsia" w:ascii="黑体" w:hAnsi="黑体" w:eastAsia="黑体" w:cs="黑体"/>
          <w:sz w:val="32"/>
          <w:szCs w:val="32"/>
        </w:rPr>
        <w:t>十、联系方式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区科技和产业促进局，联系电话：010-67881766、010-67881585，工作日上午9:00—12:00，下午2:00—6:00。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享受经开区其他房租政策合计三年及以上的企业不得申报本政策；合计未满三年的，且不再享受其他房租政策，可以申请本政策，但累计享受不超过三年。享受过2022年重点科技型企业房租补贴的期限不予计算。</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C5830"/>
    <w:multiLevelType w:val="singleLevel"/>
    <w:tmpl w:val="FFCC583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jNmMyZGY2Njk4MGYzMTQxODQzM2I4MGNhYjhhYTkifQ=="/>
  </w:docVars>
  <w:rsids>
    <w:rsidRoot w:val="00360EF1"/>
    <w:rsid w:val="0001192B"/>
    <w:rsid w:val="00020EC8"/>
    <w:rsid w:val="00023501"/>
    <w:rsid w:val="00060052"/>
    <w:rsid w:val="000603EB"/>
    <w:rsid w:val="00062C5F"/>
    <w:rsid w:val="000977C0"/>
    <w:rsid w:val="000F62F2"/>
    <w:rsid w:val="00106156"/>
    <w:rsid w:val="001145E7"/>
    <w:rsid w:val="0011525D"/>
    <w:rsid w:val="00124886"/>
    <w:rsid w:val="00132A9C"/>
    <w:rsid w:val="001366B6"/>
    <w:rsid w:val="00153436"/>
    <w:rsid w:val="00161422"/>
    <w:rsid w:val="00161CCE"/>
    <w:rsid w:val="00165F8E"/>
    <w:rsid w:val="001A1D6A"/>
    <w:rsid w:val="001A39C6"/>
    <w:rsid w:val="001C6628"/>
    <w:rsid w:val="00277C92"/>
    <w:rsid w:val="002838D9"/>
    <w:rsid w:val="002D4178"/>
    <w:rsid w:val="00331FC1"/>
    <w:rsid w:val="00360EF1"/>
    <w:rsid w:val="00395968"/>
    <w:rsid w:val="00395F17"/>
    <w:rsid w:val="0041752A"/>
    <w:rsid w:val="00437F78"/>
    <w:rsid w:val="00442A8E"/>
    <w:rsid w:val="0044627A"/>
    <w:rsid w:val="00457B4D"/>
    <w:rsid w:val="00530096"/>
    <w:rsid w:val="005A2CC5"/>
    <w:rsid w:val="005F26A0"/>
    <w:rsid w:val="005F36D1"/>
    <w:rsid w:val="0062252C"/>
    <w:rsid w:val="006379AC"/>
    <w:rsid w:val="00650EDA"/>
    <w:rsid w:val="006528F4"/>
    <w:rsid w:val="006A1513"/>
    <w:rsid w:val="006B706F"/>
    <w:rsid w:val="006C25D4"/>
    <w:rsid w:val="006D0140"/>
    <w:rsid w:val="006F1C2F"/>
    <w:rsid w:val="00710378"/>
    <w:rsid w:val="00731CA2"/>
    <w:rsid w:val="00737AAC"/>
    <w:rsid w:val="00794D36"/>
    <w:rsid w:val="00797605"/>
    <w:rsid w:val="007B27B0"/>
    <w:rsid w:val="00800746"/>
    <w:rsid w:val="0080082B"/>
    <w:rsid w:val="008045A4"/>
    <w:rsid w:val="008107B9"/>
    <w:rsid w:val="008130B8"/>
    <w:rsid w:val="00844BDB"/>
    <w:rsid w:val="0087710D"/>
    <w:rsid w:val="008C4E69"/>
    <w:rsid w:val="008D0462"/>
    <w:rsid w:val="00900A14"/>
    <w:rsid w:val="00923A77"/>
    <w:rsid w:val="00936F8F"/>
    <w:rsid w:val="00973823"/>
    <w:rsid w:val="0098077A"/>
    <w:rsid w:val="009B6C96"/>
    <w:rsid w:val="009E5F17"/>
    <w:rsid w:val="00A24DD7"/>
    <w:rsid w:val="00A3406B"/>
    <w:rsid w:val="00A85C2D"/>
    <w:rsid w:val="00AC6548"/>
    <w:rsid w:val="00AF284E"/>
    <w:rsid w:val="00B10A17"/>
    <w:rsid w:val="00B1202D"/>
    <w:rsid w:val="00B12B4E"/>
    <w:rsid w:val="00B32AB3"/>
    <w:rsid w:val="00B74D80"/>
    <w:rsid w:val="00BA5D00"/>
    <w:rsid w:val="00BF3192"/>
    <w:rsid w:val="00C122AB"/>
    <w:rsid w:val="00C64996"/>
    <w:rsid w:val="00C96821"/>
    <w:rsid w:val="00CB26A6"/>
    <w:rsid w:val="00D259A0"/>
    <w:rsid w:val="00D455F1"/>
    <w:rsid w:val="00D460B2"/>
    <w:rsid w:val="00D668C9"/>
    <w:rsid w:val="00D76185"/>
    <w:rsid w:val="00D85A9F"/>
    <w:rsid w:val="00D961B2"/>
    <w:rsid w:val="00DF7D00"/>
    <w:rsid w:val="00E12928"/>
    <w:rsid w:val="00E952B9"/>
    <w:rsid w:val="00EA199B"/>
    <w:rsid w:val="00EF5C51"/>
    <w:rsid w:val="00F416E2"/>
    <w:rsid w:val="00FA7C87"/>
    <w:rsid w:val="00FD246B"/>
    <w:rsid w:val="00FE7A83"/>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B62BF6"/>
    <w:rsid w:val="06D3553D"/>
    <w:rsid w:val="06FE1C51"/>
    <w:rsid w:val="072A1178"/>
    <w:rsid w:val="074E6B15"/>
    <w:rsid w:val="0780307B"/>
    <w:rsid w:val="078B6DBE"/>
    <w:rsid w:val="07936930"/>
    <w:rsid w:val="07B11C5A"/>
    <w:rsid w:val="082F0FC5"/>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C2149A"/>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B21025"/>
    <w:rsid w:val="1FD94394"/>
    <w:rsid w:val="1FDB376F"/>
    <w:rsid w:val="1FFFFFCD"/>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6D40DE"/>
    <w:rsid w:val="25DF3625"/>
    <w:rsid w:val="261E412A"/>
    <w:rsid w:val="26446E71"/>
    <w:rsid w:val="26602BD3"/>
    <w:rsid w:val="271005EA"/>
    <w:rsid w:val="2727206E"/>
    <w:rsid w:val="273D6D1B"/>
    <w:rsid w:val="275E3649"/>
    <w:rsid w:val="2768133E"/>
    <w:rsid w:val="27721755"/>
    <w:rsid w:val="27874815"/>
    <w:rsid w:val="27B70F97"/>
    <w:rsid w:val="281D6715"/>
    <w:rsid w:val="286873FE"/>
    <w:rsid w:val="288627FF"/>
    <w:rsid w:val="28942D3D"/>
    <w:rsid w:val="28A332E9"/>
    <w:rsid w:val="29581C68"/>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CF6E055"/>
    <w:rsid w:val="2D2A602F"/>
    <w:rsid w:val="2D6B0ED7"/>
    <w:rsid w:val="2D715293"/>
    <w:rsid w:val="2D7649D6"/>
    <w:rsid w:val="2DA064BD"/>
    <w:rsid w:val="2DB5163A"/>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7D6DB4"/>
    <w:rsid w:val="33BFD8CB"/>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6FF13A1"/>
    <w:rsid w:val="37184DFF"/>
    <w:rsid w:val="37B84612"/>
    <w:rsid w:val="37C93788"/>
    <w:rsid w:val="37EB724E"/>
    <w:rsid w:val="37EF6300"/>
    <w:rsid w:val="37EFB75A"/>
    <w:rsid w:val="37FD7B6F"/>
    <w:rsid w:val="37FF9D1A"/>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7818D4"/>
    <w:rsid w:val="3D94503B"/>
    <w:rsid w:val="3DAA6DAB"/>
    <w:rsid w:val="3DD55352"/>
    <w:rsid w:val="3DD73586"/>
    <w:rsid w:val="3DE32562"/>
    <w:rsid w:val="3DF94406"/>
    <w:rsid w:val="3E20508B"/>
    <w:rsid w:val="3ED12338"/>
    <w:rsid w:val="3EE438FE"/>
    <w:rsid w:val="3EF468CE"/>
    <w:rsid w:val="3F087986"/>
    <w:rsid w:val="3F31781F"/>
    <w:rsid w:val="3F346049"/>
    <w:rsid w:val="3F3D4664"/>
    <w:rsid w:val="3F4FDF77"/>
    <w:rsid w:val="3F580B78"/>
    <w:rsid w:val="3F636346"/>
    <w:rsid w:val="3F892CE0"/>
    <w:rsid w:val="3FBC30E1"/>
    <w:rsid w:val="3FD009E6"/>
    <w:rsid w:val="3FD4707F"/>
    <w:rsid w:val="3FFAA31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6449A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BE6240"/>
    <w:rsid w:val="4DD62215"/>
    <w:rsid w:val="4E2B5D5D"/>
    <w:rsid w:val="4E64916A"/>
    <w:rsid w:val="4E7E81D7"/>
    <w:rsid w:val="4E8B3508"/>
    <w:rsid w:val="4ED13285"/>
    <w:rsid w:val="4EE731F6"/>
    <w:rsid w:val="4F1A6236"/>
    <w:rsid w:val="4F6A651C"/>
    <w:rsid w:val="4F721548"/>
    <w:rsid w:val="4FA73771"/>
    <w:rsid w:val="4FD4377C"/>
    <w:rsid w:val="4FFF4C5B"/>
    <w:rsid w:val="50086DF5"/>
    <w:rsid w:val="508E5ABD"/>
    <w:rsid w:val="50A336F5"/>
    <w:rsid w:val="50B82898"/>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E0536B"/>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EB513C"/>
    <w:rsid w:val="5AF64E2C"/>
    <w:rsid w:val="5AFE68EE"/>
    <w:rsid w:val="5AFFD5A4"/>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3768A9"/>
    <w:rsid w:val="5D442416"/>
    <w:rsid w:val="5D5B7524"/>
    <w:rsid w:val="5D731173"/>
    <w:rsid w:val="5DB61076"/>
    <w:rsid w:val="5DB96EBE"/>
    <w:rsid w:val="5DEEAAC3"/>
    <w:rsid w:val="5DFA426F"/>
    <w:rsid w:val="5E60221A"/>
    <w:rsid w:val="5E852B06"/>
    <w:rsid w:val="5EBB0773"/>
    <w:rsid w:val="5EC9424F"/>
    <w:rsid w:val="5F3F6EB7"/>
    <w:rsid w:val="5F595787"/>
    <w:rsid w:val="5F8D1C46"/>
    <w:rsid w:val="5FBD03D0"/>
    <w:rsid w:val="5FE50B69"/>
    <w:rsid w:val="5FEA1F4F"/>
    <w:rsid w:val="5FEDCCD6"/>
    <w:rsid w:val="5FFF944D"/>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6779FE"/>
    <w:rsid w:val="63E9591E"/>
    <w:rsid w:val="640F4520"/>
    <w:rsid w:val="644E2961"/>
    <w:rsid w:val="64797172"/>
    <w:rsid w:val="649C056B"/>
    <w:rsid w:val="64AE5736"/>
    <w:rsid w:val="64CE25B3"/>
    <w:rsid w:val="64DB4BB5"/>
    <w:rsid w:val="65155138"/>
    <w:rsid w:val="65342BA2"/>
    <w:rsid w:val="658A3C2E"/>
    <w:rsid w:val="65BBDB64"/>
    <w:rsid w:val="65BD2548"/>
    <w:rsid w:val="65BE0B5B"/>
    <w:rsid w:val="65EE1625"/>
    <w:rsid w:val="667B70FF"/>
    <w:rsid w:val="66815ECF"/>
    <w:rsid w:val="668D4153"/>
    <w:rsid w:val="66A82973"/>
    <w:rsid w:val="66FF60DB"/>
    <w:rsid w:val="672E0D6A"/>
    <w:rsid w:val="677F638E"/>
    <w:rsid w:val="67C1331A"/>
    <w:rsid w:val="67F973CE"/>
    <w:rsid w:val="6808097F"/>
    <w:rsid w:val="686076FC"/>
    <w:rsid w:val="68E479A1"/>
    <w:rsid w:val="6A7C3B1B"/>
    <w:rsid w:val="6A9153AF"/>
    <w:rsid w:val="6A9A5399"/>
    <w:rsid w:val="6B3F3AAD"/>
    <w:rsid w:val="6B677D8D"/>
    <w:rsid w:val="6B878FDB"/>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395469"/>
    <w:rsid w:val="6D5B79BC"/>
    <w:rsid w:val="6DCF4058"/>
    <w:rsid w:val="6DE9238A"/>
    <w:rsid w:val="6E2B147B"/>
    <w:rsid w:val="6E33263A"/>
    <w:rsid w:val="6E3A4154"/>
    <w:rsid w:val="6E893371"/>
    <w:rsid w:val="6E8C71B7"/>
    <w:rsid w:val="6EA731B5"/>
    <w:rsid w:val="6EB6086C"/>
    <w:rsid w:val="6EC648DD"/>
    <w:rsid w:val="6F07782D"/>
    <w:rsid w:val="6F0C63B7"/>
    <w:rsid w:val="6F345206"/>
    <w:rsid w:val="6F3FF913"/>
    <w:rsid w:val="6F7B51D4"/>
    <w:rsid w:val="6F941165"/>
    <w:rsid w:val="6FB20766"/>
    <w:rsid w:val="6FBC2D32"/>
    <w:rsid w:val="6FEBF954"/>
    <w:rsid w:val="70007B47"/>
    <w:rsid w:val="70102EC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7E3FC4"/>
    <w:rsid w:val="73AC6967"/>
    <w:rsid w:val="73AE56BA"/>
    <w:rsid w:val="73DEC4D6"/>
    <w:rsid w:val="740941C7"/>
    <w:rsid w:val="74A24F54"/>
    <w:rsid w:val="74DA21D9"/>
    <w:rsid w:val="75250E17"/>
    <w:rsid w:val="75576C93"/>
    <w:rsid w:val="75711074"/>
    <w:rsid w:val="757EB87B"/>
    <w:rsid w:val="757F0BC8"/>
    <w:rsid w:val="75893E4D"/>
    <w:rsid w:val="75BA3B6D"/>
    <w:rsid w:val="75BD1801"/>
    <w:rsid w:val="75D12F9F"/>
    <w:rsid w:val="75E87AE4"/>
    <w:rsid w:val="76206188"/>
    <w:rsid w:val="767E6D89"/>
    <w:rsid w:val="768B48F5"/>
    <w:rsid w:val="76A32A08"/>
    <w:rsid w:val="76DD66F2"/>
    <w:rsid w:val="76EC6FC3"/>
    <w:rsid w:val="76FDFA47"/>
    <w:rsid w:val="770B2702"/>
    <w:rsid w:val="7718563E"/>
    <w:rsid w:val="776A3F9A"/>
    <w:rsid w:val="776B3AE1"/>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5F7AE5"/>
    <w:rsid w:val="7B9D0472"/>
    <w:rsid w:val="7BA046F3"/>
    <w:rsid w:val="7BC37346"/>
    <w:rsid w:val="7BE71A21"/>
    <w:rsid w:val="7BF2E651"/>
    <w:rsid w:val="7BF87E00"/>
    <w:rsid w:val="7C064DA7"/>
    <w:rsid w:val="7C0A2379"/>
    <w:rsid w:val="7C551636"/>
    <w:rsid w:val="7C5F3CF1"/>
    <w:rsid w:val="7C697AB1"/>
    <w:rsid w:val="7CB460B3"/>
    <w:rsid w:val="7CD445C4"/>
    <w:rsid w:val="7CDAC04A"/>
    <w:rsid w:val="7CED17F8"/>
    <w:rsid w:val="7CF17B62"/>
    <w:rsid w:val="7D274421"/>
    <w:rsid w:val="7D3D452B"/>
    <w:rsid w:val="7D5AAF59"/>
    <w:rsid w:val="7D957EE1"/>
    <w:rsid w:val="7DF5AEC6"/>
    <w:rsid w:val="7DFC4CA2"/>
    <w:rsid w:val="7E137B54"/>
    <w:rsid w:val="7E4E0E62"/>
    <w:rsid w:val="7E503B32"/>
    <w:rsid w:val="7E5738F6"/>
    <w:rsid w:val="7E609788"/>
    <w:rsid w:val="7E6B7B24"/>
    <w:rsid w:val="7E757D8F"/>
    <w:rsid w:val="7E782A8A"/>
    <w:rsid w:val="7E7B9C8E"/>
    <w:rsid w:val="7ECD7B10"/>
    <w:rsid w:val="7EFFFA7B"/>
    <w:rsid w:val="7F3FCF97"/>
    <w:rsid w:val="7F7F81E7"/>
    <w:rsid w:val="7FC14E2C"/>
    <w:rsid w:val="7FEB950F"/>
    <w:rsid w:val="7FFBACC4"/>
    <w:rsid w:val="7FFC6187"/>
    <w:rsid w:val="893E970E"/>
    <w:rsid w:val="89B13D44"/>
    <w:rsid w:val="937FF231"/>
    <w:rsid w:val="94D7A89A"/>
    <w:rsid w:val="9D5B7E5F"/>
    <w:rsid w:val="9F6F6015"/>
    <w:rsid w:val="9FFBE58A"/>
    <w:rsid w:val="A4EBC5E8"/>
    <w:rsid w:val="ABFDE994"/>
    <w:rsid w:val="AEEECB85"/>
    <w:rsid w:val="B1AB3A41"/>
    <w:rsid w:val="B2FDE449"/>
    <w:rsid w:val="B5FD16B4"/>
    <w:rsid w:val="B7F62301"/>
    <w:rsid w:val="BB7A982C"/>
    <w:rsid w:val="BD6D3975"/>
    <w:rsid w:val="BDE3DD4B"/>
    <w:rsid w:val="BDFDDE5C"/>
    <w:rsid w:val="BDFF0890"/>
    <w:rsid w:val="BF5DECFD"/>
    <w:rsid w:val="C7DB93C8"/>
    <w:rsid w:val="CEEF6235"/>
    <w:rsid w:val="D1E695EA"/>
    <w:rsid w:val="D6FE7D8D"/>
    <w:rsid w:val="D7695582"/>
    <w:rsid w:val="DBFF77BB"/>
    <w:rsid w:val="DD7E7DC7"/>
    <w:rsid w:val="DDE7E481"/>
    <w:rsid w:val="DDFFB7F0"/>
    <w:rsid w:val="DEF5E07B"/>
    <w:rsid w:val="DFEAE7E0"/>
    <w:rsid w:val="E36F61C0"/>
    <w:rsid w:val="E7F5F984"/>
    <w:rsid w:val="E97DD56A"/>
    <w:rsid w:val="EB751364"/>
    <w:rsid w:val="ECF963BC"/>
    <w:rsid w:val="EEEBBF2F"/>
    <w:rsid w:val="EEEC735D"/>
    <w:rsid w:val="EFBDD17C"/>
    <w:rsid w:val="EFBFE8E2"/>
    <w:rsid w:val="EFD3AB88"/>
    <w:rsid w:val="EFEEB9E2"/>
    <w:rsid w:val="F37BBA80"/>
    <w:rsid w:val="F3D67350"/>
    <w:rsid w:val="F5DBA8FA"/>
    <w:rsid w:val="F6CE4770"/>
    <w:rsid w:val="F7792A26"/>
    <w:rsid w:val="F7A5C909"/>
    <w:rsid w:val="F7EDA14F"/>
    <w:rsid w:val="F7EF5C0C"/>
    <w:rsid w:val="F7FD5EF3"/>
    <w:rsid w:val="F7FF2DFB"/>
    <w:rsid w:val="F9FFF7E6"/>
    <w:rsid w:val="FAB30624"/>
    <w:rsid w:val="FAF76C3A"/>
    <w:rsid w:val="FBCFDD89"/>
    <w:rsid w:val="FD0BF73E"/>
    <w:rsid w:val="FD72D08B"/>
    <w:rsid w:val="FDFBDD69"/>
    <w:rsid w:val="FE0F3BCE"/>
    <w:rsid w:val="FEB7176D"/>
    <w:rsid w:val="FEBFCEB5"/>
    <w:rsid w:val="FF38E7BA"/>
    <w:rsid w:val="FF7FE8FA"/>
    <w:rsid w:val="FF9F0AB1"/>
    <w:rsid w:val="FFED6017"/>
    <w:rsid w:val="FFF72E25"/>
    <w:rsid w:val="FFF73784"/>
    <w:rsid w:val="FFFE95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next w:val="5"/>
    <w:qFormat/>
    <w:uiPriority w:val="0"/>
    <w:pPr>
      <w:ind w:left="420" w:leftChars="200"/>
    </w:pPr>
  </w:style>
  <w:style w:type="paragraph" w:styleId="5">
    <w:name w:val="Body Text First Indent 2"/>
    <w:basedOn w:val="4"/>
    <w:next w:val="1"/>
    <w:qFormat/>
    <w:uiPriority w:val="0"/>
    <w:pPr>
      <w:ind w:firstLine="420"/>
    </w:pPr>
  </w:style>
  <w:style w:type="paragraph" w:styleId="6">
    <w:name w:val="Balloon Text"/>
    <w:basedOn w:val="1"/>
    <w:link w:val="19"/>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2"/>
    <w:next w:val="2"/>
    <w:link w:val="24"/>
    <w:qFormat/>
    <w:uiPriority w:val="0"/>
    <w:rPr>
      <w:b/>
      <w:bCs/>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页眉 字符"/>
    <w:basedOn w:val="12"/>
    <w:link w:val="8"/>
    <w:qFormat/>
    <w:uiPriority w:val="0"/>
    <w:rPr>
      <w:kern w:val="2"/>
      <w:sz w:val="18"/>
      <w:szCs w:val="18"/>
    </w:rPr>
  </w:style>
  <w:style w:type="character" w:customStyle="1" w:styleId="17">
    <w:name w:val="页脚 字符"/>
    <w:basedOn w:val="12"/>
    <w:link w:val="7"/>
    <w:qFormat/>
    <w:uiPriority w:val="0"/>
    <w:rPr>
      <w:kern w:val="2"/>
      <w:sz w:val="18"/>
      <w:szCs w:val="18"/>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批注框文本 字符"/>
    <w:basedOn w:val="12"/>
    <w:link w:val="6"/>
    <w:qFormat/>
    <w:uiPriority w:val="0"/>
    <w:rPr>
      <w:kern w:val="2"/>
      <w:sz w:val="18"/>
      <w:szCs w:val="18"/>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批注文字 字符"/>
    <w:basedOn w:val="12"/>
    <w:link w:val="2"/>
    <w:qFormat/>
    <w:uiPriority w:val="0"/>
    <w:rPr>
      <w:kern w:val="2"/>
      <w:sz w:val="21"/>
      <w:szCs w:val="24"/>
    </w:rPr>
  </w:style>
  <w:style w:type="character" w:customStyle="1" w:styleId="24">
    <w:name w:val="批注主题 字符"/>
    <w:basedOn w:val="23"/>
    <w:link w:val="10"/>
    <w:qFormat/>
    <w:uiPriority w:val="0"/>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362</Words>
  <Characters>2066</Characters>
  <Lines>17</Lines>
  <Paragraphs>4</Paragraphs>
  <TotalTime>12</TotalTime>
  <ScaleCrop>false</ScaleCrop>
  <LinksUpToDate>false</LinksUpToDate>
  <CharactersWithSpaces>2424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2025-01-30T11:37:00Z</dcterms:created>
  <dc:creator>zkk</dc:creator>
  <cp:lastModifiedBy>BDA</cp:lastModifiedBy>
  <cp:lastPrinted>2020-04-01T11:03:00Z</cp:lastPrinted>
  <dcterms:modified xsi:type="dcterms:W3CDTF">2025-07-31T15:54:10Z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