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left"/>
        <w:textAlignment w:val="auto"/>
        <w:rPr>
          <w:rFonts w:hint="eastAsia" w:ascii="黑体" w:hAnsi="黑体" w:eastAsia="黑体" w:cs="黑体"/>
          <w:spacing w:val="0"/>
          <w:sz w:val="32"/>
          <w:szCs w:val="32"/>
          <w:highlight w:val="none"/>
          <w:lang w:val="en-US" w:eastAsia="zh-CN"/>
        </w:rPr>
      </w:pPr>
      <w:bookmarkStart w:id="0" w:name="_Toc31103"/>
      <w:bookmarkStart w:id="1" w:name="_Toc27911"/>
      <w:r>
        <w:rPr>
          <w:rFonts w:hint="eastAsia" w:ascii="黑体" w:hAnsi="黑体" w:eastAsia="黑体" w:cs="黑体"/>
          <w:spacing w:val="0"/>
          <w:sz w:val="32"/>
          <w:szCs w:val="32"/>
          <w:highlight w:val="none"/>
          <w:lang w:val="en-US" w:eastAsia="zh-CN"/>
        </w:rPr>
        <w:t>附件2：</w:t>
      </w:r>
    </w:p>
    <w:bookmarkEnd w:id="0"/>
    <w:bookmarkEnd w:id="1"/>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小标宋简体" w:eastAsia="方正小标宋简体" w:cs="Times New Roman"/>
          <w:spacing w:val="0"/>
          <w:w w:val="90"/>
          <w:sz w:val="44"/>
          <w:szCs w:val="44"/>
          <w:highlight w:val="none"/>
          <w:lang w:val="en-US" w:eastAsia="zh-CN"/>
        </w:rPr>
      </w:pPr>
      <w:r>
        <w:rPr>
          <w:rFonts w:hint="eastAsia" w:ascii="方正小标宋简体" w:eastAsia="方正小标宋简体" w:cs="Times New Roman"/>
          <w:spacing w:val="0"/>
          <w:w w:val="90"/>
          <w:sz w:val="44"/>
          <w:szCs w:val="44"/>
          <w:highlight w:val="none"/>
          <w:lang w:val="en-US" w:eastAsia="zh-CN"/>
        </w:rPr>
        <w:t>北京市</w:t>
      </w:r>
      <w:r>
        <w:rPr>
          <w:rFonts w:hint="eastAsia" w:ascii="方正小标宋简体" w:hAnsi="Times New Roman" w:eastAsia="方正小标宋简体" w:cs="Times New Roman"/>
          <w:spacing w:val="0"/>
          <w:w w:val="90"/>
          <w:sz w:val="44"/>
          <w:szCs w:val="44"/>
          <w:highlight w:val="none"/>
          <w:lang w:val="en-US" w:eastAsia="zh-CN"/>
        </w:rPr>
        <w:t>昌平区落实《关于金融促进未来科学城创新发展的若干措施》实施细则</w:t>
      </w:r>
      <w:r>
        <w:rPr>
          <w:rFonts w:hint="eastAsia" w:ascii="方正小标宋简体" w:eastAsia="方正小标宋简体" w:cs="Times New Roman"/>
          <w:spacing w:val="0"/>
          <w:w w:val="90"/>
          <w:sz w:val="44"/>
          <w:szCs w:val="44"/>
          <w:highlight w:val="none"/>
          <w:lang w:val="en-US" w:eastAsia="zh-CN"/>
        </w:rPr>
        <w:t>2.0版</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pacing w:val="0"/>
          <w:w w:val="90"/>
          <w:sz w:val="32"/>
          <w:szCs w:val="32"/>
          <w:highlight w:val="none"/>
          <w:lang w:val="en-US" w:eastAsia="zh-CN"/>
        </w:rPr>
        <w:t>（征求意见稿）</w:t>
      </w:r>
      <w:bookmarkStart w:id="8" w:name="_GoBack"/>
      <w:bookmarkEnd w:id="8"/>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黑体" w:hAnsi="黑体" w:eastAsia="黑体" w:cs="黑体"/>
          <w:bCs/>
          <w:kern w:val="0"/>
          <w:sz w:val="32"/>
          <w:szCs w:val="32"/>
          <w:highlight w:val="none"/>
        </w:rPr>
      </w:pPr>
      <w:r>
        <w:rPr>
          <w:rFonts w:hint="eastAsia" w:ascii="黑体" w:hAnsi="黑体" w:eastAsia="黑体" w:cs="黑体"/>
          <w:bCs/>
          <w:kern w:val="0"/>
          <w:sz w:val="32"/>
          <w:szCs w:val="32"/>
          <w:highlight w:val="none"/>
        </w:rPr>
        <w:t>第一章 总则</w:t>
      </w:r>
    </w:p>
    <w:p>
      <w:pPr>
        <w:keepNext w:val="0"/>
        <w:keepLines w:val="0"/>
        <w:pageBreakBefore w:val="0"/>
        <w:widowControl w:val="0"/>
        <w:numPr>
          <w:ilvl w:val="0"/>
          <w:numId w:val="0"/>
        </w:numPr>
        <w:kinsoku/>
        <w:wordWrap/>
        <w:overflowPunct/>
        <w:topLinePunct w:val="0"/>
        <w:bidi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rPr>
      </w:pPr>
      <w:r>
        <w:rPr>
          <w:rFonts w:hint="eastAsia" w:ascii="黑体" w:hAnsi="黑体" w:eastAsia="黑体" w:cs="黑体"/>
          <w:bCs/>
          <w:color w:val="auto"/>
          <w:kern w:val="0"/>
          <w:sz w:val="32"/>
          <w:szCs w:val="32"/>
          <w:highlight w:val="none"/>
          <w:lang w:val="en-US" w:eastAsia="zh-CN"/>
        </w:rPr>
        <w:t xml:space="preserve">第一条  </w:t>
      </w:r>
      <w:r>
        <w:rPr>
          <w:rFonts w:hint="eastAsia" w:ascii="仿宋_GB2312" w:hAnsi="仿宋_GB2312" w:eastAsia="仿宋_GB2312" w:cs="仿宋_GB2312"/>
          <w:bCs/>
          <w:color w:val="auto"/>
          <w:kern w:val="0"/>
          <w:sz w:val="32"/>
          <w:szCs w:val="32"/>
          <w:highlight w:val="none"/>
        </w:rPr>
        <w:t>为贯彻落实《国务院关于促进国家高新技术产业开发区高质量发展的若干意见》《国务院办公厅关于做好金融“五篇大文章”的指导意见》《加快构建科技金融体制 有力支撑高水平科技自立自强的若干政策举措》《北京市中关村国家自主创新示范区建设科创金融改革试验区总体方案》，为科技创新提供全生命周期的金融服务,着力构建同科技创新相适应的科技金融体制，形成多元化、多层次、多渠道的科技投入格局,根据《关于金融促进未来科学城创新发展的若干措施》，结合昌平区实际，制定本实施细则。</w:t>
      </w:r>
    </w:p>
    <w:p>
      <w:pPr>
        <w:keepNext w:val="0"/>
        <w:keepLines w:val="0"/>
        <w:pageBreakBefore w:val="0"/>
        <w:widowControl w:val="0"/>
        <w:numPr>
          <w:ilvl w:val="0"/>
          <w:numId w:val="0"/>
        </w:numPr>
        <w:kinsoku/>
        <w:wordWrap/>
        <w:overflowPunct/>
        <w:topLinePunct w:val="0"/>
        <w:bidi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rPr>
      </w:pPr>
      <w:r>
        <w:rPr>
          <w:rFonts w:hint="eastAsia" w:ascii="黑体" w:hAnsi="黑体" w:eastAsia="黑体" w:cs="黑体"/>
          <w:bCs/>
          <w:color w:val="auto"/>
          <w:kern w:val="0"/>
          <w:sz w:val="32"/>
          <w:szCs w:val="32"/>
          <w:highlight w:val="none"/>
          <w:lang w:val="en-US" w:eastAsia="zh-CN"/>
        </w:rPr>
        <w:t xml:space="preserve">第二条  </w:t>
      </w:r>
      <w:r>
        <w:rPr>
          <w:rFonts w:hint="eastAsia" w:ascii="仿宋_GB2312" w:hAnsi="仿宋_GB2312" w:eastAsia="仿宋_GB2312" w:cs="仿宋_GB2312"/>
          <w:bCs/>
          <w:color w:val="auto"/>
          <w:kern w:val="0"/>
          <w:sz w:val="32"/>
          <w:szCs w:val="32"/>
          <w:highlight w:val="none"/>
        </w:rPr>
        <w:t>本实施细则适用于依法办理注册、纳入统计管理的银行、证券、保险、期货、消费金融、金融租赁、公募基金、银行理财子公司等经国家金融监管部门批准或备案的持牌金融机构及其子公司，</w:t>
      </w:r>
      <w:r>
        <w:rPr>
          <w:rFonts w:hint="eastAsia" w:ascii="仿宋_GB2312" w:hAnsi="仿宋_GB2312" w:eastAsia="仿宋_GB2312" w:cs="仿宋_GB2312"/>
          <w:bCs/>
          <w:color w:val="auto"/>
          <w:kern w:val="0"/>
          <w:sz w:val="32"/>
          <w:szCs w:val="32"/>
          <w:highlight w:val="none"/>
          <w:lang w:eastAsia="zh-CN"/>
        </w:rPr>
        <w:t>外资</w:t>
      </w:r>
      <w:r>
        <w:rPr>
          <w:rFonts w:hint="eastAsia" w:ascii="仿宋_GB2312" w:hAnsi="仿宋_GB2312" w:eastAsia="仿宋_GB2312" w:cs="仿宋_GB2312"/>
          <w:bCs/>
          <w:color w:val="auto"/>
          <w:kern w:val="0"/>
          <w:sz w:val="32"/>
          <w:szCs w:val="32"/>
          <w:highlight w:val="none"/>
        </w:rPr>
        <w:t>金融机构</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私募</w:t>
      </w:r>
      <w:r>
        <w:rPr>
          <w:rFonts w:hint="eastAsia" w:ascii="仿宋_GB2312" w:hAnsi="仿宋_GB2312" w:eastAsia="仿宋_GB2312" w:cs="仿宋_GB2312"/>
          <w:bCs/>
          <w:color w:val="auto"/>
          <w:kern w:val="0"/>
          <w:sz w:val="32"/>
          <w:szCs w:val="32"/>
          <w:highlight w:val="none"/>
          <w:lang w:eastAsia="zh-CN"/>
        </w:rPr>
        <w:t>证券投资基金管理人和私募股权、创业投资基金管理人</w:t>
      </w:r>
      <w:r>
        <w:rPr>
          <w:rFonts w:hint="eastAsia" w:ascii="仿宋_GB2312" w:hAnsi="仿宋_GB2312" w:eastAsia="仿宋_GB2312" w:cs="仿宋_GB2312"/>
          <w:bCs/>
          <w:color w:val="auto"/>
          <w:kern w:val="0"/>
          <w:sz w:val="32"/>
          <w:szCs w:val="32"/>
          <w:highlight w:val="none"/>
        </w:rPr>
        <w:t>，地方金融组织，金融中介服务机构</w:t>
      </w:r>
      <w:r>
        <w:rPr>
          <w:rFonts w:hint="eastAsia" w:ascii="仿宋_GB2312" w:hAnsi="仿宋_GB2312" w:eastAsia="仿宋_GB2312" w:cs="仿宋_GB2312"/>
          <w:bCs/>
          <w:color w:val="auto"/>
          <w:kern w:val="0"/>
          <w:sz w:val="32"/>
          <w:szCs w:val="32"/>
          <w:highlight w:val="none"/>
          <w:lang w:eastAsia="zh-CN"/>
        </w:rPr>
        <w:t>及科技企业</w:t>
      </w:r>
      <w:r>
        <w:rPr>
          <w:rFonts w:hint="eastAsia" w:ascii="仿宋_GB2312" w:hAnsi="仿宋_GB2312" w:eastAsia="仿宋_GB2312" w:cs="仿宋_GB2312"/>
          <w:bCs/>
          <w:color w:val="auto"/>
          <w:kern w:val="0"/>
          <w:sz w:val="32"/>
          <w:szCs w:val="32"/>
          <w:highlight w:val="none"/>
        </w:rPr>
        <w:t>等。</w:t>
      </w:r>
      <w:r>
        <w:rPr>
          <w:rFonts w:hint="eastAsia" w:ascii="仿宋_GB2312" w:hAnsi="仿宋_GB2312" w:eastAsia="仿宋_GB2312" w:cs="仿宋_GB2312"/>
          <w:bCs/>
          <w:color w:val="auto"/>
          <w:kern w:val="0"/>
          <w:sz w:val="32"/>
          <w:szCs w:val="32"/>
          <w:highlight w:val="none"/>
          <w:lang w:eastAsia="zh-CN"/>
        </w:rPr>
        <w:t>其中科技企业指高新技术企业、科技型中小企业、“专精特新”中小企业（含专精特新“小巨人”企业）、创新型中小企业、国家技术创新示范企业、制造业单项冠军企业等五类企业。</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lang w:val="en-US" w:eastAsia="zh-CN"/>
        </w:rPr>
        <w:t>第二章 优化科创金融发展生态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FF0000"/>
          <w:kern w:val="0"/>
          <w:sz w:val="32"/>
          <w:szCs w:val="32"/>
          <w:highlight w:val="none"/>
          <w:lang w:val="en-US" w:eastAsia="zh-CN" w:bidi="ar-SA"/>
        </w:rPr>
      </w:pPr>
      <w:r>
        <w:rPr>
          <w:rFonts w:hint="eastAsia" w:ascii="黑体" w:hAnsi="黑体" w:eastAsia="黑体" w:cs="黑体"/>
          <w:bCs/>
          <w:color w:val="auto"/>
          <w:kern w:val="0"/>
          <w:sz w:val="32"/>
          <w:szCs w:val="32"/>
          <w:highlight w:val="none"/>
          <w:lang w:eastAsia="zh-CN"/>
        </w:rPr>
        <w:t xml:space="preserve">第三条  </w:t>
      </w:r>
      <w:r>
        <w:rPr>
          <w:rFonts w:hint="eastAsia" w:ascii="仿宋_GB2312" w:hAnsi="仿宋_GB2312" w:eastAsia="仿宋_GB2312" w:cs="仿宋_GB2312"/>
          <w:bCs/>
          <w:color w:val="auto"/>
          <w:kern w:val="0"/>
          <w:sz w:val="32"/>
          <w:szCs w:val="32"/>
          <w:highlight w:val="none"/>
          <w:lang w:val="en-US" w:eastAsia="zh-CN" w:bidi="ar-SA"/>
        </w:rPr>
        <w:t>鼓励科创金融要素资源聚集。推动与产业发展密切的各类持牌法人金融机构聚集，对经国家金融管理部门批准设立的持牌法人金融机构，给予开办费补助，注册资本5亿元以下的，给予一次性奖励500万元；注册资本5亿元（含）——10亿元的，给予一次性奖励1000万元；注册资本10亿元（含）——30亿元的，给予一次性奖励2000万元；注册资本30亿元（含）以上的，给予一次性奖励3000万元。对已设立的持牌金融机构，注册资本每增加1亿元（含）的，给予一次性奖励100万元，每家公司累计每年最高奖励1000万元。对经国家金融管理部门批准设立的持牌法人金融机构专业子公司，一次性给予300万元开办费补助。支持各类金融机构提档升级，鼓励设立科技金融专营组织机构、科技保险专营机构、金融租赁专业子公司等区域功能性业务总部，对每家机构一次性给予200万元开办费补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lang w:val="en-US" w:eastAsia="zh-CN" w:bidi="ar-SA"/>
        </w:rPr>
      </w:pPr>
      <w:r>
        <w:rPr>
          <w:rFonts w:hint="eastAsia" w:ascii="黑体" w:hAnsi="黑体" w:eastAsia="黑体" w:cs="黑体"/>
          <w:bCs/>
          <w:color w:val="auto"/>
          <w:kern w:val="0"/>
          <w:sz w:val="32"/>
          <w:szCs w:val="32"/>
          <w:highlight w:val="none"/>
          <w:lang w:eastAsia="zh-CN"/>
        </w:rPr>
        <w:t>第四条</w:t>
      </w:r>
      <w:r>
        <w:rPr>
          <w:rFonts w:hint="eastAsia" w:ascii="黑体" w:hAnsi="黑体" w:eastAsia="黑体" w:cs="黑体"/>
          <w:bCs/>
          <w:color w:val="auto"/>
          <w:kern w:val="0"/>
          <w:sz w:val="32"/>
          <w:szCs w:val="32"/>
          <w:highlight w:val="none"/>
          <w:lang w:val="en-US" w:eastAsia="zh-CN"/>
        </w:rPr>
        <w:t xml:space="preserve">  </w:t>
      </w:r>
      <w:r>
        <w:rPr>
          <w:rFonts w:hint="eastAsia" w:ascii="仿宋_GB2312" w:hAnsi="仿宋_GB2312" w:eastAsia="仿宋_GB2312" w:cs="仿宋_GB2312"/>
          <w:bCs/>
          <w:color w:val="auto"/>
          <w:kern w:val="0"/>
          <w:sz w:val="32"/>
          <w:szCs w:val="32"/>
          <w:highlight w:val="none"/>
          <w:lang w:val="en-US" w:eastAsia="zh-CN" w:bidi="ar-SA"/>
        </w:rPr>
        <w:t>打造耐心资本集聚区。完善科技产业母基金群，构建“政府引导+社会协同”的资本接力模式，推动创业投资和股权投资基金成为有担当的耐心资本，“投早”“投小”“投长期”“投硬科技”，探索建立耐心资本集聚区。建设“科技-资本-产业”高水平循环创新枢纽，培育独角兽与隐形冠军等企业，激发创业投资和股权投资活力，推动创业投资和股权投资高质量发展。支持基金管理人落地，依托“两谷一园”园区产业、科技、人才优势进行展业，对实体企业带动作用较强的，按照实缴资本的2%给予最高200万元资金奖励。</w:t>
      </w:r>
    </w:p>
    <w:p>
      <w:pPr>
        <w:keepNext w:val="0"/>
        <w:keepLines w:val="0"/>
        <w:pageBreakBefore w:val="0"/>
        <w:widowControl w:val="0"/>
        <w:numPr>
          <w:ilvl w:val="0"/>
          <w:numId w:val="0"/>
        </w:numPr>
        <w:kinsoku/>
        <w:wordWrap/>
        <w:overflowPunct/>
        <w:topLinePunct w:val="0"/>
        <w:bidi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yellow"/>
          <w:lang w:val="en-US" w:eastAsia="zh-CN" w:bidi="ar-SA"/>
        </w:rPr>
      </w:pPr>
      <w:r>
        <w:rPr>
          <w:rFonts w:hint="eastAsia" w:ascii="黑体" w:hAnsi="黑体" w:eastAsia="黑体" w:cs="黑体"/>
          <w:bCs/>
          <w:color w:val="auto"/>
          <w:kern w:val="0"/>
          <w:sz w:val="32"/>
          <w:szCs w:val="32"/>
          <w:highlight w:val="none"/>
        </w:rPr>
        <w:t>第</w:t>
      </w:r>
      <w:r>
        <w:rPr>
          <w:rFonts w:hint="eastAsia" w:ascii="黑体" w:hAnsi="黑体" w:eastAsia="黑体" w:cs="黑体"/>
          <w:bCs/>
          <w:color w:val="auto"/>
          <w:kern w:val="0"/>
          <w:sz w:val="32"/>
          <w:szCs w:val="32"/>
          <w:highlight w:val="none"/>
          <w:lang w:eastAsia="zh-CN"/>
        </w:rPr>
        <w:t>五条</w:t>
      </w:r>
      <w:r>
        <w:rPr>
          <w:rFonts w:hint="eastAsia" w:ascii="黑体" w:hAnsi="黑体" w:eastAsia="黑体" w:cs="黑体"/>
          <w:bCs/>
          <w:color w:val="auto"/>
          <w:kern w:val="0"/>
          <w:sz w:val="32"/>
          <w:szCs w:val="32"/>
          <w:highlight w:val="none"/>
          <w:lang w:val="en-US" w:eastAsia="zh-CN"/>
        </w:rPr>
        <w:t xml:space="preserve">  </w:t>
      </w:r>
      <w:r>
        <w:rPr>
          <w:rFonts w:hint="eastAsia" w:ascii="仿宋_GB2312" w:hAnsi="仿宋_GB2312" w:eastAsia="仿宋_GB2312" w:cs="仿宋_GB2312"/>
          <w:bCs/>
          <w:color w:val="auto"/>
          <w:kern w:val="0"/>
          <w:sz w:val="32"/>
          <w:szCs w:val="32"/>
          <w:highlight w:val="none"/>
          <w:lang w:eastAsia="zh-CN"/>
        </w:rPr>
        <w:t>提供办公用房租金支持。对租赁办公用房的</w:t>
      </w:r>
      <w:r>
        <w:rPr>
          <w:rFonts w:hint="eastAsia" w:ascii="仿宋_GB2312" w:hAnsi="仿宋_GB2312" w:eastAsia="仿宋_GB2312" w:cs="仿宋_GB2312"/>
          <w:bCs/>
          <w:color w:val="auto"/>
          <w:kern w:val="0"/>
          <w:sz w:val="32"/>
          <w:szCs w:val="32"/>
          <w:highlight w:val="none"/>
        </w:rPr>
        <w:t>持牌金融机构</w:t>
      </w:r>
      <w:r>
        <w:rPr>
          <w:rFonts w:hint="eastAsia" w:ascii="仿宋_GB2312" w:hAnsi="仿宋_GB2312" w:eastAsia="仿宋_GB2312" w:cs="仿宋_GB2312"/>
          <w:bCs/>
          <w:color w:val="auto"/>
          <w:kern w:val="0"/>
          <w:sz w:val="32"/>
          <w:szCs w:val="32"/>
          <w:highlight w:val="none"/>
          <w:lang w:eastAsia="zh-CN"/>
        </w:rPr>
        <w:t>、专业子公司、基金管理人等金融机构</w:t>
      </w:r>
      <w:r>
        <w:rPr>
          <w:rFonts w:hint="eastAsia" w:ascii="仿宋_GB2312" w:hAnsi="仿宋_GB2312" w:eastAsia="仿宋_GB2312" w:cs="仿宋_GB2312"/>
          <w:bCs/>
          <w:color w:val="auto"/>
          <w:kern w:val="0"/>
          <w:sz w:val="32"/>
          <w:szCs w:val="32"/>
          <w:highlight w:val="none"/>
        </w:rPr>
        <w:t>，提供办公场地支持，注册后连续</w:t>
      </w:r>
      <w:r>
        <w:rPr>
          <w:rFonts w:hint="eastAsia" w:ascii="仿宋_GB2312" w:hAnsi="仿宋_GB2312" w:eastAsia="仿宋_GB2312" w:cs="仿宋_GB2312"/>
          <w:bCs/>
          <w:color w:val="auto"/>
          <w:kern w:val="0"/>
          <w:sz w:val="32"/>
          <w:szCs w:val="32"/>
          <w:highlight w:val="none"/>
          <w:lang w:eastAsia="zh-CN"/>
        </w:rPr>
        <w:t>两</w:t>
      </w:r>
      <w:r>
        <w:rPr>
          <w:rFonts w:hint="eastAsia" w:ascii="仿宋_GB2312" w:hAnsi="仿宋_GB2312" w:eastAsia="仿宋_GB2312" w:cs="仿宋_GB2312"/>
          <w:bCs/>
          <w:color w:val="auto"/>
          <w:kern w:val="0"/>
          <w:sz w:val="32"/>
          <w:szCs w:val="32"/>
          <w:highlight w:val="none"/>
        </w:rPr>
        <w:t>年每年按房屋租金的50%给予资金支持,</w:t>
      </w:r>
      <w:r>
        <w:rPr>
          <w:rFonts w:hint="eastAsia" w:ascii="仿宋_GB2312" w:hAnsi="仿宋_GB2312" w:eastAsia="仿宋_GB2312" w:cs="仿宋_GB2312"/>
          <w:bCs/>
          <w:color w:val="auto"/>
          <w:kern w:val="0"/>
          <w:sz w:val="32"/>
          <w:szCs w:val="32"/>
          <w:highlight w:val="none"/>
          <w:lang w:eastAsia="zh-CN"/>
        </w:rPr>
        <w:t>两</w:t>
      </w:r>
      <w:r>
        <w:rPr>
          <w:rFonts w:hint="eastAsia" w:ascii="仿宋_GB2312" w:hAnsi="仿宋_GB2312" w:eastAsia="仿宋_GB2312" w:cs="仿宋_GB2312"/>
          <w:bCs/>
          <w:color w:val="auto"/>
          <w:kern w:val="0"/>
          <w:sz w:val="32"/>
          <w:szCs w:val="32"/>
          <w:highlight w:val="none"/>
        </w:rPr>
        <w:t>年支持资金总额最高</w:t>
      </w:r>
      <w:r>
        <w:rPr>
          <w:rFonts w:hint="eastAsia" w:ascii="仿宋_GB2312" w:hAnsi="仿宋_GB2312" w:eastAsia="仿宋_GB2312" w:cs="仿宋_GB2312"/>
          <w:bCs/>
          <w:color w:val="auto"/>
          <w:kern w:val="0"/>
          <w:sz w:val="32"/>
          <w:szCs w:val="32"/>
          <w:highlight w:val="none"/>
          <w:lang w:val="en-US" w:eastAsia="zh-CN"/>
        </w:rPr>
        <w:t>10</w:t>
      </w:r>
      <w:r>
        <w:rPr>
          <w:rFonts w:hint="eastAsia" w:ascii="仿宋_GB2312" w:hAnsi="仿宋_GB2312" w:eastAsia="仿宋_GB2312" w:cs="仿宋_GB2312"/>
          <w:bCs/>
          <w:color w:val="auto"/>
          <w:kern w:val="0"/>
          <w:sz w:val="32"/>
          <w:szCs w:val="32"/>
          <w:highlight w:val="none"/>
        </w:rPr>
        <w:t>00万元。</w:t>
      </w:r>
    </w:p>
    <w:p>
      <w:pPr>
        <w:keepNext w:val="0"/>
        <w:keepLines w:val="0"/>
        <w:pageBreakBefore w:val="0"/>
        <w:widowControl w:val="0"/>
        <w:numPr>
          <w:ilvl w:val="0"/>
          <w:numId w:val="0"/>
        </w:numPr>
        <w:kinsoku/>
        <w:wordWrap/>
        <w:overflowPunct/>
        <w:topLinePunct w:val="0"/>
        <w:bidi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lang w:eastAsia="zh-CN"/>
        </w:rPr>
      </w:pPr>
      <w:bookmarkStart w:id="2" w:name="OLE_LINK3"/>
      <w:r>
        <w:rPr>
          <w:rFonts w:hint="eastAsia" w:ascii="黑体" w:hAnsi="黑体" w:eastAsia="黑体" w:cs="黑体"/>
          <w:bCs/>
          <w:color w:val="auto"/>
          <w:kern w:val="0"/>
          <w:sz w:val="32"/>
          <w:szCs w:val="32"/>
          <w:highlight w:val="none"/>
          <w:lang w:eastAsia="zh-CN"/>
        </w:rPr>
        <w:t>第六条</w:t>
      </w:r>
      <w:r>
        <w:rPr>
          <w:rFonts w:hint="eastAsia" w:ascii="黑体" w:hAnsi="黑体" w:eastAsia="黑体" w:cs="黑体"/>
          <w:bCs/>
          <w:color w:val="auto"/>
          <w:kern w:val="0"/>
          <w:sz w:val="32"/>
          <w:szCs w:val="32"/>
          <w:highlight w:val="none"/>
          <w:lang w:val="en-US" w:eastAsia="zh-CN"/>
        </w:rPr>
        <w:t xml:space="preserve">  </w:t>
      </w:r>
      <w:r>
        <w:rPr>
          <w:rFonts w:hint="eastAsia" w:ascii="仿宋_GB2312" w:hAnsi="仿宋_GB2312" w:eastAsia="仿宋_GB2312" w:cs="仿宋_GB2312"/>
          <w:bCs/>
          <w:color w:val="auto"/>
          <w:kern w:val="0"/>
          <w:sz w:val="32"/>
          <w:szCs w:val="32"/>
          <w:highlight w:val="none"/>
          <w:lang w:val="en-US" w:eastAsia="zh-CN"/>
        </w:rPr>
        <w:t>完善跨境金融服务体系。加强外资落地保障，推动合格境外有限合伙人（QFLP）试点创新，对获得QFLP试点资格的基金管理人给予100万元一次性资金奖励。对依法完成中国证券投资基金业协会备案且实际经营的QFLP基金，按照基金规模实缴美元或等值外币，2000万美元（含）——5000万美元、5000万美元（含）——1亿美元、1亿美元（含）以上，分别给予一次性50万元、80万元、100万元人民币奖励。</w:t>
      </w:r>
      <w:r>
        <w:rPr>
          <w:rFonts w:hint="eastAsia" w:ascii="仿宋_GB2312" w:hAnsi="仿宋_GB2312" w:eastAsia="仿宋_GB2312" w:cs="仿宋_GB2312"/>
          <w:bCs/>
          <w:color w:val="auto"/>
          <w:kern w:val="0"/>
          <w:sz w:val="32"/>
          <w:szCs w:val="32"/>
          <w:highlight w:val="none"/>
        </w:rPr>
        <w:t>扩大跨国公司本外币一体化资金池业务试点，提升跨国公司跨境资金运营效率。完善企业“走出去”综合服务</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实施跨境人民币结算试点奖励办法，鼓励企业开展跨境人民币结算业务，扎实推动“两区”建设重点试点业务落地。</w:t>
      </w:r>
    </w:p>
    <w:p>
      <w:pPr>
        <w:keepNext w:val="0"/>
        <w:keepLines w:val="0"/>
        <w:pageBreakBefore w:val="0"/>
        <w:widowControl w:val="0"/>
        <w:numPr>
          <w:ilvl w:val="0"/>
          <w:numId w:val="0"/>
        </w:numPr>
        <w:kinsoku/>
        <w:wordWrap/>
        <w:overflowPunct/>
        <w:topLinePunct w:val="0"/>
        <w:bidi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rPr>
      </w:pPr>
      <w:r>
        <w:rPr>
          <w:rFonts w:hint="eastAsia" w:ascii="黑体" w:hAnsi="黑体" w:eastAsia="黑体" w:cs="黑体"/>
          <w:bCs/>
          <w:color w:val="auto"/>
          <w:kern w:val="0"/>
          <w:sz w:val="32"/>
          <w:szCs w:val="32"/>
          <w:highlight w:val="none"/>
          <w:lang w:eastAsia="zh-CN"/>
        </w:rPr>
        <w:t>第七条</w:t>
      </w:r>
      <w:r>
        <w:rPr>
          <w:rFonts w:hint="eastAsia" w:ascii="黑体" w:hAnsi="黑体" w:eastAsia="黑体" w:cs="黑体"/>
          <w:bCs/>
          <w:color w:val="auto"/>
          <w:kern w:val="0"/>
          <w:sz w:val="32"/>
          <w:szCs w:val="32"/>
          <w:highlight w:val="none"/>
          <w:lang w:val="en-US" w:eastAsia="zh-CN"/>
        </w:rPr>
        <w:t xml:space="preserve">  </w:t>
      </w:r>
      <w:r>
        <w:rPr>
          <w:rFonts w:hint="eastAsia" w:ascii="仿宋_GB2312" w:hAnsi="仿宋_GB2312" w:eastAsia="仿宋_GB2312" w:cs="仿宋_GB2312"/>
          <w:bCs/>
          <w:color w:val="auto"/>
          <w:kern w:val="0"/>
          <w:sz w:val="32"/>
          <w:szCs w:val="32"/>
          <w:highlight w:val="none"/>
        </w:rPr>
        <w:t>持续优化金融营商环境。深化金融精准滴灌</w:t>
      </w:r>
      <w:r>
        <w:rPr>
          <w:rFonts w:hint="eastAsia" w:ascii="仿宋_GB2312" w:hAnsi="仿宋_GB2312" w:eastAsia="仿宋_GB2312" w:cs="仿宋_GB2312"/>
          <w:bCs/>
          <w:color w:val="auto"/>
          <w:kern w:val="0"/>
          <w:sz w:val="32"/>
          <w:szCs w:val="32"/>
          <w:highlight w:val="none"/>
          <w:lang w:eastAsia="zh-CN"/>
        </w:rPr>
        <w:t>，用好支持小微企业融资协调工作机制，强化“政银企”信息共享。完善普惠服务机制，完善中小企业公共服务体系，打造特色服务载体。</w:t>
      </w:r>
      <w:r>
        <w:rPr>
          <w:rFonts w:hint="eastAsia" w:ascii="仿宋_GB2312" w:hAnsi="仿宋_GB2312" w:eastAsia="仿宋_GB2312" w:cs="仿宋_GB2312"/>
          <w:bCs/>
          <w:color w:val="auto"/>
          <w:kern w:val="0"/>
          <w:sz w:val="32"/>
          <w:szCs w:val="32"/>
          <w:highlight w:val="none"/>
        </w:rPr>
        <w:t>加快金融赋能科技成果转化，</w:t>
      </w:r>
      <w:r>
        <w:rPr>
          <w:rFonts w:hint="eastAsia" w:ascii="仿宋_GB2312" w:hAnsi="仿宋_GB2312" w:eastAsia="仿宋_GB2312" w:cs="仿宋_GB2312"/>
          <w:bCs/>
          <w:color w:val="auto"/>
          <w:kern w:val="0"/>
          <w:sz w:val="32"/>
          <w:szCs w:val="32"/>
          <w:highlight w:val="none"/>
          <w:lang w:eastAsia="zh-CN"/>
        </w:rPr>
        <w:t>依托</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eastAsia="zh-CN"/>
        </w:rPr>
        <w:t>未来科创</w:t>
      </w:r>
      <w:r>
        <w:rPr>
          <w:rFonts w:hint="eastAsia" w:ascii="仿宋_GB2312" w:hAnsi="仿宋_GB2312" w:eastAsia="仿宋_GB2312" w:cs="仿宋_GB2312"/>
          <w:bCs/>
          <w:color w:val="auto"/>
          <w:kern w:val="0"/>
          <w:sz w:val="32"/>
          <w:szCs w:val="32"/>
          <w:highlight w:val="none"/>
        </w:rPr>
        <w:t>金融智库”</w:t>
      </w:r>
      <w:r>
        <w:rPr>
          <w:rFonts w:hint="eastAsia" w:ascii="仿宋_GB2312" w:hAnsi="仿宋_GB2312" w:eastAsia="仿宋_GB2312" w:cs="仿宋_GB2312"/>
          <w:bCs/>
          <w:color w:val="auto"/>
          <w:kern w:val="0"/>
          <w:sz w:val="32"/>
          <w:szCs w:val="32"/>
          <w:highlight w:val="none"/>
          <w:lang w:eastAsia="zh-CN"/>
        </w:rPr>
        <w:t>和</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val="en-US" w:eastAsia="zh-CN"/>
        </w:rPr>
        <w:t>昌平未来</w:t>
      </w:r>
      <w:r>
        <w:rPr>
          <w:rFonts w:hint="eastAsia" w:ascii="仿宋_GB2312" w:hAnsi="仿宋_GB2312" w:eastAsia="仿宋_GB2312" w:cs="仿宋_GB2312"/>
          <w:bCs/>
          <w:color w:val="auto"/>
          <w:kern w:val="0"/>
          <w:sz w:val="32"/>
          <w:szCs w:val="32"/>
          <w:highlight w:val="none"/>
        </w:rPr>
        <w:t>创投联盟</w:t>
      </w:r>
      <w:r>
        <w:rPr>
          <w:rFonts w:hint="eastAsia" w:ascii="仿宋_GB2312" w:hAnsi="仿宋_GB2312" w:eastAsia="仿宋_GB2312" w:cs="仿宋_GB2312"/>
          <w:bCs/>
          <w:color w:val="auto"/>
          <w:kern w:val="0"/>
          <w:sz w:val="32"/>
          <w:szCs w:val="32"/>
          <w:highlight w:val="none"/>
          <w:lang w:val="en-US" w:eastAsia="zh-CN"/>
        </w:rPr>
        <w:t>CFIA</w:t>
      </w:r>
      <w:r>
        <w:rPr>
          <w:rFonts w:hint="eastAsia" w:ascii="仿宋_GB2312" w:hAnsi="仿宋_GB2312" w:eastAsia="仿宋_GB2312" w:cs="仿宋_GB2312"/>
          <w:bCs/>
          <w:color w:val="auto"/>
          <w:kern w:val="0"/>
          <w:sz w:val="32"/>
          <w:szCs w:val="32"/>
          <w:highlight w:val="none"/>
        </w:rPr>
        <w:t>”，深化政学金企对接交流合作。建设科创金融服务设施，推动与优质社会资本共建高质量孵化基地，</w:t>
      </w:r>
      <w:r>
        <w:rPr>
          <w:rFonts w:hint="eastAsia" w:ascii="仿宋_GB2312" w:hAnsi="仿宋_GB2312" w:eastAsia="仿宋_GB2312" w:cs="仿宋_GB2312"/>
          <w:bCs/>
          <w:color w:val="auto"/>
          <w:kern w:val="0"/>
          <w:sz w:val="32"/>
          <w:szCs w:val="32"/>
          <w:highlight w:val="none"/>
          <w:lang w:eastAsia="zh-CN"/>
        </w:rPr>
        <w:t>为企业提供全链条、专业化的金融服务。</w:t>
      </w:r>
      <w:r>
        <w:rPr>
          <w:rFonts w:hint="eastAsia" w:ascii="仿宋_GB2312" w:hAnsi="仿宋_GB2312" w:eastAsia="仿宋_GB2312" w:cs="仿宋_GB2312"/>
          <w:bCs/>
          <w:color w:val="auto"/>
          <w:kern w:val="0"/>
          <w:sz w:val="32"/>
          <w:szCs w:val="32"/>
          <w:highlight w:val="none"/>
        </w:rPr>
        <w:t>扩大重点商圈数字人民币应用试点范围</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深入推动数字人民币在税费征缴等公共事业领域的应用。丰富金融科技应用场景，支持人工智能技术、大数据、云计算技术等在金融领域的应用。</w:t>
      </w:r>
      <w:r>
        <w:rPr>
          <w:rFonts w:hint="eastAsia" w:ascii="仿宋_GB2312" w:hAnsi="仿宋_GB2312" w:eastAsia="仿宋_GB2312" w:cs="仿宋_GB2312"/>
          <w:bCs/>
          <w:color w:val="auto"/>
          <w:kern w:val="0"/>
          <w:sz w:val="32"/>
          <w:szCs w:val="32"/>
          <w:highlight w:val="none"/>
          <w:lang w:eastAsia="zh-CN"/>
        </w:rPr>
        <w:t>持续提升适老化支付服务水平、便利重点领域外卡消费</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eastAsia="zh-CN"/>
        </w:rPr>
        <w:t>有效满足</w:t>
      </w:r>
      <w:r>
        <w:rPr>
          <w:rFonts w:hint="eastAsia" w:ascii="仿宋_GB2312" w:hAnsi="仿宋_GB2312" w:eastAsia="仿宋_GB2312" w:cs="仿宋_GB2312"/>
          <w:bCs/>
          <w:color w:val="auto"/>
          <w:kern w:val="0"/>
          <w:sz w:val="32"/>
          <w:szCs w:val="32"/>
          <w:highlight w:val="none"/>
        </w:rPr>
        <w:t>老年人、外籍来华人员</w:t>
      </w:r>
      <w:r>
        <w:rPr>
          <w:rFonts w:hint="eastAsia" w:ascii="仿宋_GB2312" w:hAnsi="仿宋_GB2312" w:eastAsia="仿宋_GB2312" w:cs="仿宋_GB2312"/>
          <w:bCs/>
          <w:color w:val="auto"/>
          <w:kern w:val="0"/>
          <w:sz w:val="32"/>
          <w:szCs w:val="32"/>
          <w:highlight w:val="none"/>
          <w:lang w:eastAsia="zh-CN"/>
        </w:rPr>
        <w:t>等群体</w:t>
      </w:r>
      <w:r>
        <w:rPr>
          <w:rFonts w:hint="eastAsia" w:ascii="仿宋_GB2312" w:hAnsi="仿宋_GB2312" w:eastAsia="仿宋_GB2312" w:cs="仿宋_GB2312"/>
          <w:bCs/>
          <w:color w:val="auto"/>
          <w:kern w:val="0"/>
          <w:sz w:val="32"/>
          <w:szCs w:val="32"/>
          <w:highlight w:val="none"/>
        </w:rPr>
        <w:t>支付服务</w:t>
      </w:r>
      <w:r>
        <w:rPr>
          <w:rFonts w:hint="eastAsia" w:ascii="仿宋_GB2312" w:hAnsi="仿宋_GB2312" w:eastAsia="仿宋_GB2312" w:cs="仿宋_GB2312"/>
          <w:bCs/>
          <w:color w:val="auto"/>
          <w:kern w:val="0"/>
          <w:sz w:val="32"/>
          <w:szCs w:val="32"/>
          <w:highlight w:val="none"/>
          <w:lang w:eastAsia="zh-CN"/>
        </w:rPr>
        <w:t>需求</w:t>
      </w:r>
      <w:r>
        <w:rPr>
          <w:rFonts w:hint="eastAsia" w:ascii="仿宋_GB2312" w:hAnsi="仿宋_GB2312" w:eastAsia="仿宋_GB2312" w:cs="仿宋_GB2312"/>
          <w:bCs/>
          <w:color w:val="auto"/>
          <w:kern w:val="0"/>
          <w:sz w:val="32"/>
          <w:szCs w:val="32"/>
          <w:highlight w:val="none"/>
        </w:rPr>
        <w:t>。</w:t>
      </w:r>
    </w:p>
    <w:bookmarkEnd w:id="2"/>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黑体" w:hAnsi="黑体" w:eastAsia="黑体" w:cs="黑体"/>
          <w:bCs/>
          <w:color w:val="auto"/>
          <w:kern w:val="0"/>
          <w:sz w:val="32"/>
          <w:szCs w:val="32"/>
          <w:highlight w:val="none"/>
          <w:lang w:val="en-US" w:eastAsia="zh-CN"/>
        </w:rPr>
      </w:pPr>
      <w:r>
        <w:rPr>
          <w:rFonts w:hint="eastAsia" w:ascii="黑体" w:hAnsi="黑体" w:eastAsia="黑体" w:cs="黑体"/>
          <w:bCs/>
          <w:color w:val="auto"/>
          <w:kern w:val="0"/>
          <w:sz w:val="32"/>
          <w:szCs w:val="32"/>
          <w:highlight w:val="none"/>
          <w:lang w:val="en-US" w:eastAsia="zh-CN"/>
        </w:rPr>
        <w:t>第三章 强化金融产品和服务模式创新</w:t>
      </w:r>
    </w:p>
    <w:p>
      <w:pPr>
        <w:pStyle w:val="33"/>
        <w:adjustRightInd w:val="0"/>
        <w:spacing w:line="560" w:lineRule="exact"/>
        <w:ind w:firstLine="640" w:firstLineChars="200"/>
        <w:rPr>
          <w:rFonts w:hint="eastAsia" w:ascii="仿宋_GB2312" w:hAnsi="黑体" w:eastAsia="仿宋_GB2312"/>
          <w:color w:val="auto"/>
          <w:kern w:val="0"/>
          <w:sz w:val="32"/>
          <w:szCs w:val="32"/>
          <w:highlight w:val="none"/>
        </w:rPr>
      </w:pPr>
      <w:r>
        <w:rPr>
          <w:rFonts w:hint="eastAsia" w:ascii="黑体" w:hAnsi="黑体" w:eastAsia="黑体" w:cs="黑体"/>
          <w:bCs/>
          <w:color w:val="auto"/>
          <w:sz w:val="32"/>
          <w:szCs w:val="32"/>
          <w:highlight w:val="none"/>
        </w:rPr>
        <w:t>第</w:t>
      </w:r>
      <w:r>
        <w:rPr>
          <w:rFonts w:hint="eastAsia" w:ascii="黑体" w:hAnsi="黑体" w:eastAsia="黑体" w:cs="黑体"/>
          <w:bCs/>
          <w:color w:val="auto"/>
          <w:sz w:val="32"/>
          <w:szCs w:val="32"/>
          <w:highlight w:val="none"/>
          <w:lang w:eastAsia="zh-CN"/>
        </w:rPr>
        <w:t>八条</w:t>
      </w:r>
      <w:r>
        <w:rPr>
          <w:rFonts w:hint="eastAsia" w:ascii="黑体" w:hAnsi="黑体" w:eastAsia="黑体" w:cs="黑体"/>
          <w:bCs/>
          <w:color w:val="auto"/>
          <w:sz w:val="32"/>
          <w:szCs w:val="32"/>
          <w:highlight w:val="none"/>
          <w:lang w:val="en-US" w:eastAsia="zh-CN"/>
        </w:rPr>
        <w:t xml:space="preserve">  </w:t>
      </w:r>
      <w:r>
        <w:rPr>
          <w:rFonts w:hint="eastAsia" w:ascii="仿宋_GB2312" w:hAnsi="黑体" w:eastAsia="仿宋_GB2312"/>
          <w:color w:val="auto"/>
          <w:kern w:val="0"/>
          <w:sz w:val="32"/>
          <w:szCs w:val="32"/>
          <w:highlight w:val="none"/>
        </w:rPr>
        <w:t>鼓励银行机构</w:t>
      </w:r>
      <w:r>
        <w:rPr>
          <w:rFonts w:hint="eastAsia" w:ascii="仿宋_GB2312" w:hAnsi="仿宋" w:eastAsia="仿宋_GB2312"/>
          <w:color w:val="auto"/>
          <w:sz w:val="32"/>
          <w:szCs w:val="32"/>
          <w:highlight w:val="none"/>
        </w:rPr>
        <w:t>加大信贷投放力度</w:t>
      </w:r>
      <w:r>
        <w:rPr>
          <w:rFonts w:hint="eastAsia" w:ascii="仿宋_GB2312" w:hAnsi="黑体" w:eastAsia="仿宋_GB2312"/>
          <w:color w:val="auto"/>
          <w:kern w:val="0"/>
          <w:sz w:val="32"/>
          <w:szCs w:val="32"/>
          <w:highlight w:val="none"/>
        </w:rPr>
        <w:t>，</w:t>
      </w:r>
      <w:r>
        <w:rPr>
          <w:rFonts w:hint="eastAsia" w:ascii="仿宋_GB2312" w:hAnsi="微软雅黑" w:eastAsia="仿宋_GB2312" w:cs="宋体"/>
          <w:color w:val="auto"/>
          <w:sz w:val="32"/>
          <w:szCs w:val="32"/>
          <w:highlight w:val="none"/>
        </w:rPr>
        <w:t>更新创新型融资产品和服务模式，</w:t>
      </w:r>
      <w:r>
        <w:rPr>
          <w:rFonts w:hint="eastAsia" w:ascii="仿宋_GB2312" w:hAnsi="黑体" w:eastAsia="仿宋_GB2312"/>
          <w:color w:val="auto"/>
          <w:kern w:val="0"/>
          <w:sz w:val="32"/>
          <w:szCs w:val="32"/>
          <w:highlight w:val="none"/>
        </w:rPr>
        <w:t>支持</w:t>
      </w:r>
      <w:r>
        <w:rPr>
          <w:rFonts w:hint="eastAsia" w:ascii="仿宋_GB2312" w:hAnsi="黑体" w:eastAsia="仿宋_GB2312"/>
          <w:color w:val="auto"/>
          <w:kern w:val="0"/>
          <w:sz w:val="32"/>
          <w:szCs w:val="32"/>
          <w:highlight w:val="none"/>
          <w:lang w:eastAsia="zh-CN"/>
        </w:rPr>
        <w:t>科技</w:t>
      </w:r>
      <w:r>
        <w:rPr>
          <w:rFonts w:hint="eastAsia" w:ascii="仿宋_GB2312" w:hAnsi="黑体" w:eastAsia="仿宋_GB2312"/>
          <w:color w:val="auto"/>
          <w:kern w:val="0"/>
          <w:sz w:val="32"/>
          <w:szCs w:val="32"/>
          <w:highlight w:val="none"/>
        </w:rPr>
        <w:t>企业发展。</w:t>
      </w:r>
    </w:p>
    <w:p>
      <w:pPr>
        <w:pStyle w:val="33"/>
        <w:adjustRightInd w:val="0"/>
        <w:spacing w:line="560" w:lineRule="exact"/>
        <w:ind w:firstLine="640" w:firstLineChars="200"/>
        <w:rPr>
          <w:rFonts w:hint="eastAsia" w:ascii="仿宋_GB2312" w:hAnsi="黑体" w:eastAsia="仿宋_GB2312"/>
          <w:color w:val="auto"/>
          <w:kern w:val="0"/>
          <w:sz w:val="32"/>
          <w:szCs w:val="32"/>
          <w:highlight w:val="none"/>
          <w:lang w:eastAsia="zh-CN"/>
        </w:rPr>
      </w:pPr>
      <w:r>
        <w:rPr>
          <w:rFonts w:hint="eastAsia" w:ascii="仿宋_GB2312" w:hAnsi="黑体" w:eastAsia="仿宋_GB2312"/>
          <w:color w:val="auto"/>
          <w:kern w:val="0"/>
          <w:sz w:val="32"/>
          <w:szCs w:val="32"/>
          <w:highlight w:val="none"/>
          <w:lang w:eastAsia="zh-CN"/>
        </w:rPr>
        <w:t>（一）激发银行机构活力。鼓励银行机构积极面向科创企业开展科创信贷、绿色信贷、普惠信贷等创新业务，拓展“投贷联动”“见投即贷”业务模式创新和场景应用，对优化金融服务、创新金融产品的银行机构，按照业务增长情况，给予每家机构每年最高</w:t>
      </w:r>
      <w:r>
        <w:rPr>
          <w:rFonts w:hint="eastAsia" w:ascii="仿宋_GB2312" w:hAnsi="黑体" w:eastAsia="仿宋_GB2312"/>
          <w:color w:val="auto"/>
          <w:kern w:val="0"/>
          <w:sz w:val="32"/>
          <w:szCs w:val="32"/>
          <w:highlight w:val="none"/>
          <w:lang w:val="en-US" w:eastAsia="zh-CN"/>
        </w:rPr>
        <w:t>100万元</w:t>
      </w:r>
      <w:r>
        <w:rPr>
          <w:rFonts w:hint="eastAsia" w:ascii="仿宋_GB2312" w:hAnsi="黑体" w:eastAsia="仿宋_GB2312"/>
          <w:color w:val="auto"/>
          <w:kern w:val="0"/>
          <w:sz w:val="32"/>
          <w:szCs w:val="32"/>
          <w:highlight w:val="none"/>
          <w:lang w:eastAsia="zh-CN"/>
        </w:rPr>
        <w:t>资金奖励。</w:t>
      </w:r>
    </w:p>
    <w:p>
      <w:pPr>
        <w:keepNext w:val="0"/>
        <w:keepLines w:val="0"/>
        <w:pageBreakBefore w:val="0"/>
        <w:widowControl w:val="0"/>
        <w:kinsoku/>
        <w:wordWrap/>
        <w:overflowPunct/>
        <w:topLinePunct w:val="0"/>
        <w:autoSpaceDN w:val="0"/>
        <w:bidi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Courier New" w:eastAsia="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）建立风险补偿机制</w:t>
      </w:r>
      <w:r>
        <w:rPr>
          <w:rFonts w:hint="eastAsia" w:ascii="仿宋_GB2312" w:hAnsi="仿宋_GB2312" w:eastAsia="仿宋_GB2312" w:cs="仿宋_GB2312"/>
          <w:color w:val="auto"/>
          <w:sz w:val="32"/>
          <w:szCs w:val="32"/>
          <w:highlight w:val="none"/>
          <w:lang w:eastAsia="zh-CN"/>
        </w:rPr>
        <w:t>。对</w:t>
      </w:r>
      <w:r>
        <w:rPr>
          <w:rFonts w:hint="eastAsia" w:ascii="仿宋_GB2312" w:hAnsi="Courier New" w:eastAsia="仿宋_GB2312"/>
          <w:color w:val="auto"/>
          <w:sz w:val="32"/>
          <w:szCs w:val="32"/>
          <w:highlight w:val="none"/>
        </w:rPr>
        <w:t>向</w:t>
      </w:r>
      <w:r>
        <w:rPr>
          <w:rFonts w:hint="eastAsia" w:ascii="仿宋_GB2312" w:hAnsi="Courier New" w:eastAsia="仿宋_GB2312"/>
          <w:color w:val="auto"/>
          <w:sz w:val="32"/>
          <w:szCs w:val="32"/>
          <w:highlight w:val="none"/>
          <w:lang w:eastAsia="zh-CN"/>
        </w:rPr>
        <w:t>科技</w:t>
      </w:r>
      <w:r>
        <w:rPr>
          <w:rFonts w:hint="eastAsia" w:ascii="仿宋_GB2312" w:hAnsi="Courier New" w:eastAsia="仿宋_GB2312"/>
          <w:color w:val="auto"/>
          <w:sz w:val="32"/>
          <w:szCs w:val="32"/>
          <w:highlight w:val="none"/>
        </w:rPr>
        <w:t>企业提供</w:t>
      </w:r>
      <w:r>
        <w:rPr>
          <w:rFonts w:hint="eastAsia" w:ascii="仿宋_GB2312" w:hAnsi="Courier New" w:eastAsia="仿宋_GB2312" w:cs="Times New Roman"/>
          <w:color w:val="auto"/>
          <w:sz w:val="32"/>
          <w:szCs w:val="32"/>
          <w:highlight w:val="none"/>
        </w:rPr>
        <w:t>信用贷、知识产权质押贷、认股权贷、股权质押贷、应收账款质押贷</w:t>
      </w:r>
      <w:r>
        <w:rPr>
          <w:rFonts w:hint="eastAsia" w:ascii="仿宋_GB2312" w:hAnsi="Courier New" w:eastAsia="仿宋_GB2312" w:cs="Times New Roman"/>
          <w:color w:val="auto"/>
          <w:sz w:val="32"/>
          <w:szCs w:val="32"/>
          <w:highlight w:val="none"/>
          <w:lang w:eastAsia="zh-CN"/>
        </w:rPr>
        <w:t>、并购贷</w:t>
      </w:r>
      <w:r>
        <w:rPr>
          <w:rFonts w:hint="eastAsia" w:ascii="仿宋_GB2312" w:hAnsi="Courier New" w:eastAsia="仿宋_GB2312"/>
          <w:color w:val="auto"/>
          <w:sz w:val="32"/>
          <w:szCs w:val="32"/>
          <w:highlight w:val="none"/>
        </w:rPr>
        <w:t>等信贷支持的</w:t>
      </w:r>
      <w:r>
        <w:rPr>
          <w:rFonts w:hint="eastAsia" w:ascii="仿宋_GB2312" w:hAnsi="Courier New" w:eastAsia="仿宋_GB2312"/>
          <w:color w:val="auto"/>
          <w:sz w:val="32"/>
          <w:szCs w:val="32"/>
          <w:highlight w:val="none"/>
          <w:lang w:eastAsia="zh-CN"/>
        </w:rPr>
        <w:t>银行机构</w:t>
      </w:r>
      <w:r>
        <w:rPr>
          <w:rFonts w:hint="eastAsia" w:ascii="仿宋_GB2312" w:hAnsi="Courier New" w:eastAsia="仿宋_GB2312"/>
          <w:color w:val="auto"/>
          <w:sz w:val="32"/>
          <w:szCs w:val="32"/>
          <w:highlight w:val="none"/>
        </w:rPr>
        <w:t>发生</w:t>
      </w:r>
      <w:r>
        <w:rPr>
          <w:rFonts w:hint="eastAsia" w:ascii="仿宋_GB2312" w:hAnsi="Courier New" w:eastAsia="仿宋_GB2312"/>
          <w:color w:val="auto"/>
          <w:sz w:val="32"/>
          <w:szCs w:val="32"/>
          <w:highlight w:val="none"/>
          <w:lang w:eastAsia="zh-CN"/>
        </w:rPr>
        <w:t>损失</w:t>
      </w:r>
      <w:r>
        <w:rPr>
          <w:rFonts w:hint="eastAsia" w:ascii="仿宋_GB2312" w:hAnsi="Courier New" w:eastAsia="仿宋_GB2312"/>
          <w:color w:val="auto"/>
          <w:sz w:val="32"/>
          <w:szCs w:val="32"/>
          <w:highlight w:val="none"/>
        </w:rPr>
        <w:t>的，按照损失本金部分</w:t>
      </w:r>
      <w:r>
        <w:rPr>
          <w:rFonts w:hint="eastAsia" w:ascii="仿宋_GB2312" w:hAnsi="Courier New" w:eastAsia="仿宋_GB2312"/>
          <w:color w:val="auto"/>
          <w:sz w:val="32"/>
          <w:szCs w:val="32"/>
          <w:highlight w:val="none"/>
          <w:lang w:eastAsia="zh-CN"/>
        </w:rPr>
        <w:t>的</w:t>
      </w:r>
      <w:r>
        <w:rPr>
          <w:rFonts w:hint="eastAsia" w:ascii="仿宋_GB2312" w:hAnsi="Courier New" w:eastAsia="仿宋_GB2312"/>
          <w:color w:val="auto"/>
          <w:sz w:val="32"/>
          <w:szCs w:val="32"/>
          <w:highlight w:val="none"/>
          <w:lang w:val="en-US" w:eastAsia="zh-CN"/>
        </w:rPr>
        <w:t>50%</w:t>
      </w:r>
      <w:r>
        <w:rPr>
          <w:rFonts w:hint="eastAsia" w:ascii="仿宋_GB2312" w:hAnsi="Courier New" w:eastAsia="仿宋_GB2312"/>
          <w:color w:val="auto"/>
          <w:sz w:val="32"/>
          <w:szCs w:val="32"/>
          <w:highlight w:val="none"/>
        </w:rPr>
        <w:t>给予信贷风险补偿</w:t>
      </w:r>
      <w:r>
        <w:rPr>
          <w:rFonts w:hint="eastAsia" w:ascii="仿宋_GB2312" w:hAnsi="Courier New" w:eastAsia="仿宋_GB2312"/>
          <w:color w:val="auto"/>
          <w:sz w:val="32"/>
          <w:szCs w:val="32"/>
          <w:highlight w:val="none"/>
          <w:lang w:eastAsia="zh-CN"/>
        </w:rPr>
        <w:t>，每家机构每年最高补偿</w:t>
      </w:r>
      <w:r>
        <w:rPr>
          <w:rFonts w:hint="eastAsia" w:ascii="仿宋_GB2312" w:hAnsi="Courier New" w:eastAsia="仿宋_GB2312"/>
          <w:color w:val="auto"/>
          <w:sz w:val="32"/>
          <w:szCs w:val="32"/>
          <w:highlight w:val="none"/>
          <w:lang w:val="en-US" w:eastAsia="zh-CN"/>
        </w:rPr>
        <w:t>100万元</w:t>
      </w:r>
      <w:r>
        <w:rPr>
          <w:rFonts w:hint="eastAsia" w:ascii="仿宋_GB2312" w:hAnsi="Courier New" w:eastAsia="仿宋_GB2312"/>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（三）鼓励开展小微企业融资服务。先行开展“小微企业之家”首批试点创建工作，实现助企惠企服务下沉扩面，助力中小企业高质量发展。对入选“小微企业之家”的银行分支机构，给予5万元资金奖励。</w:t>
      </w:r>
    </w:p>
    <w:p>
      <w:pPr>
        <w:pStyle w:val="32"/>
        <w:keepNext w:val="0"/>
        <w:keepLines w:val="0"/>
        <w:pageBreakBefore w:val="0"/>
        <w:widowControl w:val="0"/>
        <w:kinsoku/>
        <w:wordWrap/>
        <w:overflowPunct/>
        <w:topLinePunct w:val="0"/>
        <w:bidi w:val="0"/>
        <w:spacing w:beforeAutospacing="0" w:afterAutospacing="0" w:line="560" w:lineRule="exact"/>
        <w:ind w:left="0" w:leftChars="0" w:right="0" w:rightChars="0" w:firstLine="640" w:firstLineChars="200"/>
        <w:jc w:val="both"/>
        <w:textAlignment w:val="auto"/>
        <w:outlineLvl w:val="9"/>
        <w:rPr>
          <w:rFonts w:eastAsia="仿宋_GB2312"/>
          <w:color w:val="auto"/>
          <w:highlight w:val="none"/>
        </w:rPr>
      </w:pPr>
      <w:r>
        <w:rPr>
          <w:rFonts w:hint="eastAsia" w:ascii="仿宋_GB2312" w:hAnsi="Courier New" w:eastAsia="仿宋_GB2312" w:cs="Times New Roman"/>
          <w:color w:val="auto"/>
          <w:kern w:val="2"/>
          <w:sz w:val="32"/>
          <w:szCs w:val="32"/>
          <w:highlight w:val="none"/>
        </w:rPr>
        <w:t>（</w:t>
      </w:r>
      <w:r>
        <w:rPr>
          <w:rFonts w:hint="eastAsia" w:ascii="仿宋_GB2312" w:hAnsi="Courier New" w:eastAsia="仿宋_GB2312" w:cs="Times New Roman"/>
          <w:color w:val="auto"/>
          <w:kern w:val="2"/>
          <w:sz w:val="32"/>
          <w:szCs w:val="32"/>
          <w:highlight w:val="none"/>
          <w:lang w:eastAsia="zh-CN"/>
        </w:rPr>
        <w:t>四</w:t>
      </w:r>
      <w:r>
        <w:rPr>
          <w:rFonts w:hint="eastAsia" w:ascii="仿宋_GB2312" w:hAnsi="Courier New" w:eastAsia="仿宋_GB2312" w:cs="Times New Roman"/>
          <w:color w:val="auto"/>
          <w:kern w:val="2"/>
          <w:sz w:val="32"/>
          <w:szCs w:val="32"/>
          <w:highlight w:val="none"/>
        </w:rPr>
        <w:t>）</w:t>
      </w:r>
      <w:bookmarkStart w:id="3" w:name="OLE_LINK1"/>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科技</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eastAsia="zh-CN"/>
        </w:rPr>
        <w:t>提供贷款贴息支持</w:t>
      </w:r>
      <w:bookmarkEnd w:id="3"/>
      <w:r>
        <w:rPr>
          <w:rFonts w:hint="eastAsia" w:ascii="仿宋_GB2312" w:hAnsi="仿宋_GB2312" w:eastAsia="仿宋_GB2312" w:cs="仿宋_GB2312"/>
          <w:color w:val="auto"/>
          <w:sz w:val="32"/>
          <w:szCs w:val="32"/>
          <w:highlight w:val="none"/>
          <w:lang w:eastAsia="zh-CN"/>
        </w:rPr>
        <w:t>。对获得上述贷款的科技企业，</w:t>
      </w:r>
      <w:r>
        <w:rPr>
          <w:rFonts w:hint="eastAsia" w:ascii="仿宋_GB2312" w:hAnsi="仿宋_GB2312" w:eastAsia="仿宋_GB2312" w:cs="仿宋_GB2312"/>
          <w:color w:val="auto"/>
          <w:sz w:val="32"/>
          <w:szCs w:val="32"/>
          <w:highlight w:val="none"/>
        </w:rPr>
        <w:t>按照实际获得贷款产生利息的</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0%给予贷款贴息支持，每家企业每年最高</w:t>
      </w:r>
      <w:r>
        <w:rPr>
          <w:rFonts w:hint="eastAsia" w:ascii="仿宋_GB2312" w:hAnsi="仿宋_GB2312" w:eastAsia="仿宋_GB2312" w:cs="仿宋_GB2312"/>
          <w:color w:val="auto"/>
          <w:sz w:val="32"/>
          <w:szCs w:val="32"/>
          <w:highlight w:val="none"/>
          <w:lang w:eastAsia="zh-CN"/>
        </w:rPr>
        <w:t>补贴</w:t>
      </w:r>
      <w:r>
        <w:rPr>
          <w:rFonts w:hint="eastAsia" w:ascii="仿宋_GB2312" w:hAnsi="仿宋_GB2312" w:eastAsia="仿宋_GB2312" w:cs="仿宋_GB2312"/>
          <w:color w:val="auto"/>
          <w:sz w:val="32"/>
          <w:szCs w:val="32"/>
          <w:highlight w:val="none"/>
          <w:lang w:val="en-US" w:eastAsia="zh-CN"/>
        </w:rPr>
        <w:t>100万元</w:t>
      </w:r>
      <w:r>
        <w:rPr>
          <w:rFonts w:hint="eastAsia" w:ascii="仿宋_GB2312" w:hAnsi="仿宋_GB2312" w:eastAsia="仿宋_GB2312" w:cs="仿宋_GB2312"/>
          <w:color w:val="auto"/>
          <w:sz w:val="32"/>
          <w:szCs w:val="32"/>
          <w:highlight w:val="none"/>
        </w:rPr>
        <w:t>，逾期或展期期间支付的利息不予贴息。</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40" w:firstLineChars="200"/>
        <w:jc w:val="both"/>
        <w:textAlignment w:val="auto"/>
        <w:outlineLvl w:val="9"/>
        <w:rPr>
          <w:rFonts w:ascii="仿宋_GB2312" w:hAnsi="仿宋" w:eastAsia="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九条</w:t>
      </w:r>
      <w:r>
        <w:rPr>
          <w:rFonts w:hint="eastAsia" w:ascii="黑体" w:hAnsi="黑体" w:eastAsia="黑体" w:cs="黑体"/>
          <w:color w:val="auto"/>
          <w:sz w:val="32"/>
          <w:szCs w:val="32"/>
          <w:highlight w:val="none"/>
          <w:lang w:val="en-US" w:eastAsia="zh-CN"/>
        </w:rPr>
        <w:t xml:space="preserve">  </w:t>
      </w:r>
      <w:r>
        <w:rPr>
          <w:rFonts w:hint="eastAsia" w:ascii="仿宋_GB2312" w:hAnsi="仿宋" w:eastAsia="仿宋_GB2312"/>
          <w:color w:val="auto"/>
          <w:sz w:val="32"/>
          <w:szCs w:val="32"/>
          <w:highlight w:val="none"/>
        </w:rPr>
        <w:t>鼓励</w:t>
      </w:r>
      <w:r>
        <w:rPr>
          <w:rFonts w:hint="eastAsia" w:ascii="仿宋_GB2312" w:hAnsi="仿宋_GB2312" w:eastAsia="仿宋_GB2312" w:cs="仿宋_GB2312"/>
          <w:color w:val="auto"/>
          <w:sz w:val="32"/>
          <w:szCs w:val="32"/>
          <w:highlight w:val="none"/>
        </w:rPr>
        <w:t>融资担保</w:t>
      </w:r>
      <w:r>
        <w:rPr>
          <w:rFonts w:hint="eastAsia" w:ascii="仿宋_GB2312" w:hAnsi="仿宋_GB2312" w:eastAsia="仿宋_GB2312" w:cs="仿宋_GB2312"/>
          <w:color w:val="auto"/>
          <w:sz w:val="32"/>
          <w:szCs w:val="32"/>
          <w:highlight w:val="none"/>
          <w:lang w:eastAsia="zh-CN"/>
        </w:rPr>
        <w:t>公司、保险公司</w:t>
      </w:r>
      <w:r>
        <w:rPr>
          <w:rFonts w:hint="eastAsia" w:ascii="仿宋_GB2312" w:hAnsi="仿宋_GB2312" w:eastAsia="仿宋_GB2312" w:cs="仿宋_GB2312"/>
          <w:color w:val="auto"/>
          <w:sz w:val="32"/>
          <w:szCs w:val="32"/>
          <w:highlight w:val="none"/>
        </w:rPr>
        <w:t>优化科创融资担保服务，提升</w:t>
      </w:r>
      <w:r>
        <w:rPr>
          <w:rFonts w:hint="eastAsia" w:ascii="仿宋_GB2312" w:hAnsi="仿宋_GB2312" w:eastAsia="仿宋_GB2312" w:cs="仿宋_GB2312"/>
          <w:color w:val="auto"/>
          <w:sz w:val="32"/>
          <w:szCs w:val="32"/>
          <w:highlight w:val="none"/>
          <w:lang w:eastAsia="zh-CN"/>
        </w:rPr>
        <w:t>科技</w:t>
      </w:r>
      <w:r>
        <w:rPr>
          <w:rFonts w:hint="eastAsia" w:ascii="仿宋_GB2312" w:hAnsi="Courier New" w:eastAsia="仿宋_GB2312"/>
          <w:color w:val="auto"/>
          <w:sz w:val="32"/>
          <w:szCs w:val="32"/>
          <w:highlight w:val="none"/>
        </w:rPr>
        <w:t>企业融资担保业务比重。</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40" w:firstLineChars="200"/>
        <w:jc w:val="both"/>
        <w:textAlignment w:val="auto"/>
        <w:outlineLvl w:val="9"/>
        <w:rPr>
          <w:rFonts w:ascii="仿宋_GB2312" w:hAnsi="Courier New"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一</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建立风险补偿机制。支持融资担保公司、保险公司优化科创融资担保服务，提升科技企业融资担保业务比重。</w:t>
      </w:r>
      <w:r>
        <w:rPr>
          <w:rFonts w:hint="eastAsia" w:ascii="仿宋_GB2312" w:hAnsi="Courier New" w:eastAsia="仿宋_GB2312"/>
          <w:color w:val="auto"/>
          <w:sz w:val="32"/>
          <w:szCs w:val="32"/>
          <w:highlight w:val="none"/>
        </w:rPr>
        <w:t>对融资担保公司</w:t>
      </w:r>
      <w:r>
        <w:rPr>
          <w:rFonts w:hint="eastAsia" w:ascii="仿宋_GB2312" w:hAnsi="Courier New" w:eastAsia="仿宋_GB2312"/>
          <w:color w:val="auto"/>
          <w:sz w:val="32"/>
          <w:szCs w:val="32"/>
          <w:highlight w:val="none"/>
          <w:lang w:eastAsia="zh-CN"/>
        </w:rPr>
        <w:t>、保险公司</w:t>
      </w:r>
      <w:r>
        <w:rPr>
          <w:rFonts w:hint="eastAsia" w:ascii="仿宋_GB2312" w:hAnsi="Courier New" w:eastAsia="仿宋_GB2312"/>
          <w:color w:val="auto"/>
          <w:sz w:val="32"/>
          <w:szCs w:val="32"/>
          <w:highlight w:val="none"/>
        </w:rPr>
        <w:t>发生代偿的，按照代偿贷款本金部分</w:t>
      </w:r>
      <w:r>
        <w:rPr>
          <w:rFonts w:hint="eastAsia" w:ascii="仿宋_GB2312" w:hAnsi="Courier New" w:eastAsia="仿宋_GB2312"/>
          <w:color w:val="auto"/>
          <w:sz w:val="32"/>
          <w:szCs w:val="32"/>
          <w:highlight w:val="none"/>
          <w:lang w:eastAsia="zh-CN"/>
        </w:rPr>
        <w:t>的</w:t>
      </w:r>
      <w:r>
        <w:rPr>
          <w:rFonts w:hint="eastAsia" w:ascii="仿宋_GB2312" w:hAnsi="Courier New" w:eastAsia="仿宋_GB2312"/>
          <w:color w:val="auto"/>
          <w:sz w:val="32"/>
          <w:szCs w:val="32"/>
          <w:highlight w:val="none"/>
          <w:lang w:val="en-US" w:eastAsia="zh-CN"/>
        </w:rPr>
        <w:t>50%</w:t>
      </w:r>
      <w:r>
        <w:rPr>
          <w:rFonts w:hint="eastAsia" w:ascii="仿宋_GB2312" w:hAnsi="Courier New" w:eastAsia="仿宋_GB2312"/>
          <w:color w:val="auto"/>
          <w:sz w:val="32"/>
          <w:szCs w:val="32"/>
          <w:highlight w:val="none"/>
        </w:rPr>
        <w:t>给予风险补偿</w:t>
      </w:r>
      <w:r>
        <w:rPr>
          <w:rFonts w:hint="eastAsia" w:ascii="仿宋_GB2312" w:hAnsi="Courier New" w:eastAsia="仿宋_GB2312"/>
          <w:color w:val="auto"/>
          <w:sz w:val="32"/>
          <w:szCs w:val="32"/>
          <w:highlight w:val="none"/>
          <w:lang w:eastAsia="zh-CN"/>
        </w:rPr>
        <w:t>，每家机构每年最高补偿100万元。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Cs/>
          <w:color w:val="auto"/>
          <w:kern w:val="0"/>
          <w:sz w:val="32"/>
          <w:szCs w:val="32"/>
          <w:highlight w:val="none"/>
          <w:lang w:val="en-US" w:eastAsia="zh-CN" w:bidi="ar-SA"/>
        </w:rPr>
        <w:t>（二）对科技企业提供担保费用补贴。降低科技企业综合融资成本费用。对获得银行贷款担保的科技企业，按照担保费用的50%给予补贴，每家企业每年最高补贴50万元。</w:t>
      </w:r>
    </w:p>
    <w:p>
      <w:pPr>
        <w:pStyle w:val="14"/>
        <w:keepNext w:val="0"/>
        <w:keepLines w:val="0"/>
        <w:pageBreakBefore w:val="0"/>
        <w:widowControl w:val="0"/>
        <w:kinsoku/>
        <w:wordWrap/>
        <w:overflowPunct/>
        <w:topLinePunct w:val="0"/>
        <w:bidi w:val="0"/>
        <w:spacing w:beforeAutospacing="0" w:afterAutospacing="0" w:line="560" w:lineRule="exact"/>
        <w:ind w:left="0" w:leftChars="0" w:right="0" w:rightChars="0" w:firstLine="640" w:firstLineChars="200"/>
        <w:jc w:val="both"/>
        <w:textAlignment w:val="auto"/>
        <w:outlineLvl w:val="9"/>
        <w:rPr>
          <w:rFonts w:ascii="仿宋_GB2312" w:hAnsi="仿宋" w:eastAsia="仿宋_GB2312"/>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十条</w:t>
      </w:r>
      <w:r>
        <w:rPr>
          <w:rFonts w:hint="eastAsia" w:ascii="黑体" w:hAnsi="黑体" w:eastAsia="黑体" w:cs="黑体"/>
          <w:b w:val="0"/>
          <w:bCs w:val="0"/>
          <w:color w:val="auto"/>
          <w:sz w:val="32"/>
          <w:szCs w:val="32"/>
          <w:highlight w:val="none"/>
          <w:lang w:val="en-US" w:eastAsia="zh-CN"/>
        </w:rPr>
        <w:t xml:space="preserve">  </w:t>
      </w:r>
      <w:r>
        <w:rPr>
          <w:rFonts w:hint="eastAsia" w:ascii="仿宋_GB2312" w:hAnsi="Helvetica" w:eastAsia="仿宋_GB2312"/>
          <w:b w:val="0"/>
          <w:bCs w:val="0"/>
          <w:color w:val="auto"/>
          <w:sz w:val="32"/>
          <w:szCs w:val="32"/>
          <w:highlight w:val="none"/>
        </w:rPr>
        <w:t>强化科技保险保障作用，分散</w:t>
      </w:r>
      <w:r>
        <w:rPr>
          <w:rFonts w:hint="eastAsia" w:ascii="仿宋_GB2312" w:hAnsi="Helvetica" w:eastAsia="仿宋_GB2312"/>
          <w:b w:val="0"/>
          <w:bCs w:val="0"/>
          <w:color w:val="auto"/>
          <w:sz w:val="32"/>
          <w:szCs w:val="32"/>
          <w:highlight w:val="none"/>
          <w:lang w:eastAsia="zh-CN"/>
        </w:rPr>
        <w:t>科技</w:t>
      </w:r>
      <w:r>
        <w:rPr>
          <w:rFonts w:hint="eastAsia" w:ascii="仿宋_GB2312" w:hAnsi="Helvetica" w:eastAsia="仿宋_GB2312"/>
          <w:b w:val="0"/>
          <w:bCs w:val="0"/>
          <w:color w:val="auto"/>
          <w:sz w:val="32"/>
          <w:szCs w:val="32"/>
          <w:highlight w:val="none"/>
        </w:rPr>
        <w:t>企业风险</w:t>
      </w:r>
      <w:r>
        <w:rPr>
          <w:rFonts w:hint="eastAsia" w:ascii="仿宋_GB2312" w:hAnsi="Helvetica" w:eastAsia="仿宋_GB2312"/>
          <w:b w:val="0"/>
          <w:bCs w:val="0"/>
          <w:color w:val="auto"/>
          <w:sz w:val="32"/>
          <w:szCs w:val="32"/>
          <w:highlight w:val="none"/>
          <w:lang w:eastAsia="zh-CN"/>
        </w:rPr>
        <w:t>，</w:t>
      </w:r>
      <w:r>
        <w:rPr>
          <w:rFonts w:hint="eastAsia" w:ascii="仿宋_GB2312" w:hAnsi="Helvetica" w:eastAsia="仿宋_GB2312"/>
          <w:b w:val="0"/>
          <w:bCs w:val="0"/>
          <w:color w:val="auto"/>
          <w:sz w:val="32"/>
          <w:szCs w:val="32"/>
          <w:highlight w:val="none"/>
        </w:rPr>
        <w:t>助力科技成果转化</w:t>
      </w:r>
      <w:r>
        <w:rPr>
          <w:rFonts w:hint="eastAsia" w:ascii="仿宋_GB2312" w:hAnsi="Helvetica" w:eastAsia="仿宋_GB2312"/>
          <w:b w:val="0"/>
          <w:bCs w:val="0"/>
          <w:color w:val="auto"/>
          <w:sz w:val="32"/>
          <w:szCs w:val="32"/>
          <w:highlight w:val="none"/>
          <w:lang w:eastAsia="zh-CN"/>
        </w:rPr>
        <w:t>。</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40" w:firstLineChars="200"/>
        <w:jc w:val="both"/>
        <w:textAlignment w:val="auto"/>
        <w:outlineLvl w:val="9"/>
        <w:rPr>
          <w:rFonts w:hint="eastAsia" w:ascii="仿宋_GB2312" w:hAnsi="Courier New" w:eastAsia="仿宋_GB2312"/>
          <w:color w:val="auto"/>
          <w:sz w:val="32"/>
          <w:szCs w:val="32"/>
          <w:highlight w:val="none"/>
        </w:rPr>
      </w:pPr>
      <w:r>
        <w:rPr>
          <w:rFonts w:hint="eastAsia" w:ascii="仿宋_GB2312" w:hAnsi="Courier New" w:eastAsia="仿宋_GB2312"/>
          <w:color w:val="auto"/>
          <w:sz w:val="32"/>
          <w:szCs w:val="32"/>
          <w:highlight w:val="none"/>
        </w:rPr>
        <w:t>（</w:t>
      </w:r>
      <w:r>
        <w:rPr>
          <w:rFonts w:hint="eastAsia" w:ascii="仿宋_GB2312" w:hAnsi="Courier New" w:eastAsia="仿宋_GB2312"/>
          <w:color w:val="auto"/>
          <w:sz w:val="32"/>
          <w:szCs w:val="32"/>
          <w:highlight w:val="none"/>
          <w:lang w:eastAsia="zh-CN"/>
        </w:rPr>
        <w:t>一</w:t>
      </w:r>
      <w:r>
        <w:rPr>
          <w:rFonts w:hint="eastAsia" w:ascii="仿宋_GB2312" w:hAnsi="Courier New" w:eastAsia="仿宋_GB2312"/>
          <w:color w:val="auto"/>
          <w:sz w:val="32"/>
          <w:szCs w:val="32"/>
          <w:highlight w:val="none"/>
        </w:rPr>
        <w:t>）建立风险补偿机制。鼓励保险机构积极开展</w:t>
      </w:r>
      <w:r>
        <w:rPr>
          <w:rFonts w:hint="eastAsia" w:ascii="仿宋_GB2312" w:hAnsi="Courier New" w:eastAsia="仿宋_GB2312"/>
          <w:color w:val="auto"/>
          <w:sz w:val="32"/>
          <w:szCs w:val="32"/>
          <w:highlight w:val="none"/>
          <w:lang w:eastAsia="zh-CN"/>
        </w:rPr>
        <w:t>科技保险业务，对向科技企业提供</w:t>
      </w:r>
      <w:r>
        <w:rPr>
          <w:rFonts w:hint="eastAsia" w:ascii="仿宋_GB2312" w:hAnsi="Courier New" w:eastAsia="仿宋_GB2312"/>
          <w:color w:val="auto"/>
          <w:sz w:val="32"/>
          <w:szCs w:val="32"/>
          <w:highlight w:val="none"/>
        </w:rPr>
        <w:t>创新药及医疗器械研发保险、知识产权保险、科技研发创新保险、首台（套）重大技术装备保险、新材料首批次应用保险、软件首版次应用保险等</w:t>
      </w:r>
      <w:r>
        <w:rPr>
          <w:rFonts w:hint="eastAsia" w:ascii="仿宋_GB2312" w:hAnsi="Courier New" w:eastAsia="仿宋_GB2312"/>
          <w:color w:val="auto"/>
          <w:sz w:val="32"/>
          <w:szCs w:val="32"/>
          <w:highlight w:val="none"/>
          <w:lang w:eastAsia="zh-CN"/>
        </w:rPr>
        <w:t>产品</w:t>
      </w:r>
      <w:r>
        <w:rPr>
          <w:rFonts w:hint="eastAsia" w:ascii="仿宋_GB2312" w:hAnsi="Courier New" w:eastAsia="仿宋_GB2312"/>
          <w:color w:val="auto"/>
          <w:sz w:val="32"/>
          <w:szCs w:val="32"/>
          <w:highlight w:val="none"/>
        </w:rPr>
        <w:t>发生赔款的，按照实际发生赔款金额</w:t>
      </w:r>
      <w:r>
        <w:rPr>
          <w:rFonts w:hint="eastAsia" w:ascii="仿宋_GB2312" w:hAnsi="Courier New" w:eastAsia="仿宋_GB2312"/>
          <w:color w:val="auto"/>
          <w:sz w:val="32"/>
          <w:szCs w:val="32"/>
          <w:highlight w:val="none"/>
          <w:lang w:eastAsia="zh-CN"/>
        </w:rPr>
        <w:t>的</w:t>
      </w:r>
      <w:r>
        <w:rPr>
          <w:rFonts w:hint="eastAsia" w:ascii="仿宋_GB2312" w:hAnsi="Courier New" w:eastAsia="仿宋_GB2312"/>
          <w:color w:val="auto"/>
          <w:sz w:val="32"/>
          <w:szCs w:val="32"/>
          <w:highlight w:val="none"/>
          <w:lang w:val="en-US" w:eastAsia="zh-CN"/>
        </w:rPr>
        <w:t>50%</w:t>
      </w:r>
      <w:r>
        <w:rPr>
          <w:rFonts w:hint="eastAsia" w:ascii="仿宋_GB2312" w:hAnsi="Courier New" w:eastAsia="仿宋_GB2312"/>
          <w:color w:val="auto"/>
          <w:sz w:val="32"/>
          <w:szCs w:val="32"/>
          <w:highlight w:val="none"/>
        </w:rPr>
        <w:t>给予保险机构风险补偿</w:t>
      </w:r>
      <w:r>
        <w:rPr>
          <w:rFonts w:hint="eastAsia" w:ascii="仿宋_GB2312" w:hAnsi="Courier New" w:eastAsia="仿宋_GB2312"/>
          <w:color w:val="auto"/>
          <w:sz w:val="32"/>
          <w:szCs w:val="32"/>
          <w:highlight w:val="none"/>
          <w:lang w:eastAsia="zh-CN"/>
        </w:rPr>
        <w:t>，每家机构每年最高补偿100万元。</w:t>
      </w:r>
    </w:p>
    <w:p>
      <w:pPr>
        <w:pStyle w:val="33"/>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对科技企业提供保费支持。对购买上述保险产品</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科技</w:t>
      </w:r>
      <w:r>
        <w:rPr>
          <w:rFonts w:hint="eastAsia" w:ascii="仿宋_GB2312" w:hAnsi="仿宋_GB2312" w:eastAsia="仿宋_GB2312" w:cs="仿宋_GB2312"/>
          <w:color w:val="auto"/>
          <w:sz w:val="32"/>
          <w:szCs w:val="32"/>
          <w:highlight w:val="none"/>
        </w:rPr>
        <w:t>企业，针对企业自担保费部分的</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0%给予</w:t>
      </w:r>
      <w:r>
        <w:rPr>
          <w:rFonts w:hint="eastAsia" w:ascii="仿宋_GB2312" w:hAnsi="仿宋_GB2312" w:eastAsia="仿宋_GB2312" w:cs="仿宋_GB2312"/>
          <w:color w:val="auto"/>
          <w:sz w:val="32"/>
          <w:szCs w:val="32"/>
          <w:highlight w:val="none"/>
          <w:lang w:eastAsia="zh-CN"/>
        </w:rPr>
        <w:t>资金支持</w:t>
      </w:r>
      <w:r>
        <w:rPr>
          <w:rFonts w:hint="eastAsia" w:ascii="仿宋_GB2312" w:hAnsi="仿宋_GB2312" w:eastAsia="仿宋_GB2312" w:cs="仿宋_GB2312"/>
          <w:color w:val="auto"/>
          <w:sz w:val="32"/>
          <w:szCs w:val="32"/>
          <w:highlight w:val="none"/>
        </w:rPr>
        <w:t>，每家企业每年最高</w:t>
      </w:r>
      <w:r>
        <w:rPr>
          <w:rFonts w:hint="eastAsia" w:ascii="仿宋_GB2312" w:hAnsi="仿宋_GB2312" w:eastAsia="仿宋_GB2312" w:cs="仿宋_GB2312"/>
          <w:color w:val="auto"/>
          <w:sz w:val="32"/>
          <w:szCs w:val="32"/>
          <w:highlight w:val="none"/>
          <w:lang w:eastAsia="zh-CN"/>
        </w:rPr>
        <w:t>补贴</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万元。针对已享受过北京市首台（套）重大技术装备保费补贴支持的</w:t>
      </w:r>
      <w:r>
        <w:rPr>
          <w:rFonts w:hint="eastAsia" w:ascii="仿宋_GB2312" w:hAnsi="仿宋_GB2312" w:eastAsia="仿宋_GB2312" w:cs="仿宋_GB2312"/>
          <w:color w:val="auto"/>
          <w:sz w:val="32"/>
          <w:szCs w:val="32"/>
          <w:highlight w:val="none"/>
          <w:lang w:eastAsia="zh-CN"/>
        </w:rPr>
        <w:t>科技</w:t>
      </w:r>
      <w:r>
        <w:rPr>
          <w:rFonts w:hint="eastAsia" w:ascii="仿宋_GB2312" w:hAnsi="仿宋_GB2312" w:eastAsia="仿宋_GB2312" w:cs="仿宋_GB2312"/>
          <w:color w:val="auto"/>
          <w:sz w:val="32"/>
          <w:szCs w:val="32"/>
          <w:highlight w:val="none"/>
        </w:rPr>
        <w:t>企业，针对企业自担保费部分的20%给予资金支持，每家企业每年享受的市区两级补贴总额不超过企业自担保费。</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黑体" w:hAnsi="黑体" w:eastAsia="黑体" w:cs="黑体"/>
          <w:bCs/>
          <w:color w:val="auto"/>
          <w:kern w:val="0"/>
          <w:sz w:val="32"/>
          <w:szCs w:val="32"/>
          <w:highlight w:val="none"/>
          <w:lang w:val="en-US" w:eastAsia="zh-CN"/>
        </w:rPr>
      </w:pPr>
      <w:r>
        <w:rPr>
          <w:rFonts w:hint="eastAsia" w:ascii="黑体" w:hAnsi="黑体" w:eastAsia="黑体" w:cs="黑体"/>
          <w:bCs/>
          <w:color w:val="auto"/>
          <w:kern w:val="0"/>
          <w:sz w:val="32"/>
          <w:szCs w:val="32"/>
          <w:highlight w:val="none"/>
          <w:lang w:val="en-US" w:eastAsia="zh-CN"/>
        </w:rPr>
        <w:t>第四章  拓宽科技企业资本市场融资渠道</w:t>
      </w:r>
    </w:p>
    <w:p>
      <w:pPr>
        <w:pStyle w:val="33"/>
        <w:keepNext w:val="0"/>
        <w:keepLines w:val="0"/>
        <w:pageBreakBefore w:val="0"/>
        <w:widowControl w:val="0"/>
        <w:numPr>
          <w:ilvl w:val="0"/>
          <w:numId w:val="0"/>
        </w:numPr>
        <w:kinsoku/>
        <w:wordWrap/>
        <w:overflowPunct/>
        <w:topLinePunct w:val="0"/>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rPr>
        <w:t>第十</w:t>
      </w:r>
      <w:bookmarkStart w:id="4" w:name="_Hlk124616915"/>
      <w:r>
        <w:rPr>
          <w:rFonts w:hint="eastAsia" w:ascii="黑体" w:hAnsi="黑体" w:eastAsia="黑体" w:cs="黑体"/>
          <w:color w:val="auto"/>
          <w:sz w:val="32"/>
          <w:szCs w:val="32"/>
          <w:highlight w:val="none"/>
          <w:lang w:eastAsia="zh-CN"/>
        </w:rPr>
        <w:t>一条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鼓励创投机构布局高精尖产业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对于聚焦主导产业等开展投资</w:t>
      </w:r>
      <w:r>
        <w:rPr>
          <w:rFonts w:hint="eastAsia" w:ascii="仿宋_GB2312" w:hAnsi="仿宋_GB2312" w:eastAsia="仿宋_GB2312" w:cs="仿宋_GB2312"/>
          <w:color w:val="auto"/>
          <w:sz w:val="32"/>
          <w:szCs w:val="32"/>
          <w:highlight w:val="none"/>
          <w:lang w:eastAsia="zh-CN"/>
        </w:rPr>
        <w:t>的基金管理人</w:t>
      </w:r>
      <w:r>
        <w:rPr>
          <w:rFonts w:hint="eastAsia" w:ascii="仿宋_GB2312" w:hAnsi="仿宋_GB2312" w:eastAsia="仿宋_GB2312" w:cs="仿宋_GB2312"/>
          <w:color w:val="auto"/>
          <w:sz w:val="32"/>
          <w:szCs w:val="32"/>
          <w:highlight w:val="none"/>
        </w:rPr>
        <w:t>，</w:t>
      </w:r>
      <w:bookmarkEnd w:id="4"/>
      <w:r>
        <w:rPr>
          <w:rFonts w:hint="eastAsia" w:ascii="仿宋_GB2312" w:hAnsi="仿宋_GB2312" w:eastAsia="仿宋_GB2312" w:cs="仿宋_GB2312"/>
          <w:color w:val="auto"/>
          <w:sz w:val="32"/>
          <w:szCs w:val="32"/>
          <w:highlight w:val="none"/>
        </w:rPr>
        <w:t>本年度</w:t>
      </w:r>
      <w:bookmarkStart w:id="5" w:name="OLE_LINK4"/>
      <w:r>
        <w:rPr>
          <w:rFonts w:hint="eastAsia" w:ascii="仿宋_GB2312" w:hAnsi="仿宋_GB2312" w:eastAsia="仿宋_GB2312" w:cs="仿宋_GB2312"/>
          <w:color w:val="auto"/>
          <w:sz w:val="32"/>
          <w:szCs w:val="32"/>
          <w:highlight w:val="none"/>
        </w:rPr>
        <w:t>实际投资金额高于</w:t>
      </w:r>
      <w:r>
        <w:rPr>
          <w:rFonts w:hint="eastAsia" w:ascii="仿宋_GB2312" w:hAnsi="仿宋_GB2312" w:eastAsia="仿宋_GB2312" w:cs="仿宋_GB2312"/>
          <w:color w:val="auto"/>
          <w:sz w:val="32"/>
          <w:szCs w:val="32"/>
          <w:highlight w:val="none"/>
          <w:lang w:val="en-US" w:eastAsia="zh-CN"/>
        </w:rPr>
        <w:t>500万元的</w:t>
      </w:r>
      <w:r>
        <w:rPr>
          <w:rFonts w:hint="eastAsia" w:ascii="仿宋_GB2312" w:hAnsi="仿宋_GB2312" w:eastAsia="仿宋_GB2312" w:cs="仿宋_GB2312"/>
          <w:color w:val="auto"/>
          <w:sz w:val="32"/>
          <w:szCs w:val="32"/>
          <w:highlight w:val="none"/>
        </w:rPr>
        <w:t>，按</w:t>
      </w:r>
      <w:r>
        <w:rPr>
          <w:rFonts w:hint="eastAsia" w:ascii="仿宋_GB2312" w:hAnsi="仿宋_GB2312" w:eastAsia="仿宋_GB2312" w:cs="仿宋_GB2312"/>
          <w:color w:val="auto"/>
          <w:sz w:val="32"/>
          <w:szCs w:val="32"/>
          <w:highlight w:val="none"/>
          <w:lang w:eastAsia="zh-CN"/>
        </w:rPr>
        <w:t>当年对科技企业投资金额</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%进行奖励，最高</w:t>
      </w:r>
      <w:r>
        <w:rPr>
          <w:rFonts w:hint="eastAsia" w:ascii="仿宋_GB2312" w:hAnsi="仿宋_GB2312" w:eastAsia="仿宋_GB2312" w:cs="仿宋_GB2312"/>
          <w:color w:val="auto"/>
          <w:sz w:val="32"/>
          <w:szCs w:val="32"/>
          <w:highlight w:val="none"/>
          <w:lang w:eastAsia="zh-CN"/>
        </w:rPr>
        <w:t>奖励</w:t>
      </w:r>
      <w:r>
        <w:rPr>
          <w:rFonts w:hint="eastAsia" w:ascii="仿宋_GB2312" w:hAnsi="仿宋_GB2312" w:eastAsia="仿宋_GB2312" w:cs="仿宋_GB2312"/>
          <w:color w:val="auto"/>
          <w:sz w:val="32"/>
          <w:szCs w:val="32"/>
          <w:highlight w:val="none"/>
        </w:rPr>
        <w:t>500万元</w:t>
      </w:r>
      <w:bookmarkEnd w:id="5"/>
      <w:r>
        <w:rPr>
          <w:rFonts w:hint="eastAsia" w:ascii="仿宋_GB2312" w:hAnsi="仿宋_GB2312" w:eastAsia="仿宋_GB2312" w:cs="仿宋_GB2312"/>
          <w:color w:val="auto"/>
          <w:sz w:val="32"/>
          <w:szCs w:val="32"/>
          <w:highlight w:val="none"/>
          <w:lang w:eastAsia="zh-CN"/>
        </w:rPr>
        <w:t>。</w:t>
      </w:r>
    </w:p>
    <w:p>
      <w:pPr>
        <w:pStyle w:val="14"/>
        <w:keepNext w:val="0"/>
        <w:keepLines w:val="0"/>
        <w:pageBreakBefore w:val="0"/>
        <w:widowControl w:val="0"/>
        <w:kinsoku/>
        <w:wordWrap/>
        <w:overflowPunct/>
        <w:topLinePunct w:val="0"/>
        <w:bidi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十二条</w:t>
      </w:r>
      <w:r>
        <w:rPr>
          <w:rFonts w:hint="eastAsia" w:ascii="黑体" w:hAnsi="黑体" w:eastAsia="黑体" w:cs="黑体"/>
          <w:b w:val="0"/>
          <w:bCs w:val="0"/>
          <w:color w:val="auto"/>
          <w:sz w:val="32"/>
          <w:szCs w:val="32"/>
          <w:highlight w:val="none"/>
          <w:lang w:val="en-US" w:eastAsia="zh-CN"/>
        </w:rPr>
        <w:t xml:space="preserve">  </w:t>
      </w:r>
      <w:bookmarkStart w:id="6" w:name="OLE_LINK2"/>
      <w:r>
        <w:rPr>
          <w:rFonts w:hint="eastAsia" w:ascii="仿宋_GB2312" w:hAnsi="仿宋_GB2312" w:eastAsia="仿宋_GB2312" w:cs="仿宋_GB2312"/>
          <w:b w:val="0"/>
          <w:bCs w:val="0"/>
          <w:color w:val="auto"/>
          <w:sz w:val="32"/>
          <w:szCs w:val="32"/>
          <w:highlight w:val="none"/>
        </w:rPr>
        <w:t>支持企业在新三板挂牌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对获准在基础层挂牌的企业，给予1</w:t>
      </w:r>
      <w:r>
        <w:rPr>
          <w:rFonts w:hint="eastAsia" w:ascii="仿宋_GB2312" w:hAnsi="仿宋_GB2312" w:eastAsia="仿宋_GB2312" w:cs="仿宋_GB2312"/>
          <w:b w:val="0"/>
          <w:bCs w:val="0"/>
          <w:color w:val="auto"/>
          <w:sz w:val="32"/>
          <w:szCs w:val="32"/>
          <w:highlight w:val="none"/>
          <w:lang w:val="en-US" w:eastAsia="zh-CN"/>
        </w:rPr>
        <w:t>00</w:t>
      </w:r>
      <w:r>
        <w:rPr>
          <w:rFonts w:hint="eastAsia" w:ascii="仿宋_GB2312" w:hAnsi="仿宋_GB2312" w:eastAsia="仿宋_GB2312" w:cs="仿宋_GB2312"/>
          <w:b w:val="0"/>
          <w:bCs w:val="0"/>
          <w:color w:val="auto"/>
          <w:sz w:val="32"/>
          <w:szCs w:val="32"/>
          <w:highlight w:val="none"/>
        </w:rPr>
        <w:t>万元资金支持；获准调层后进入创新层的企业，给予</w:t>
      </w:r>
      <w:r>
        <w:rPr>
          <w:rFonts w:hint="eastAsia" w:ascii="仿宋_GB2312" w:hAnsi="仿宋_GB2312" w:eastAsia="仿宋_GB2312" w:cs="仿宋_GB2312"/>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rPr>
        <w:t>万元资金支持；获准直接进入创新层挂牌的企业，给予200万元资金支持。</w:t>
      </w:r>
      <w:bookmarkEnd w:id="6"/>
    </w:p>
    <w:p>
      <w:pPr>
        <w:pStyle w:val="14"/>
        <w:keepNext w:val="0"/>
        <w:keepLines w:val="0"/>
        <w:pageBreakBefore w:val="0"/>
        <w:widowControl w:val="0"/>
        <w:kinsoku/>
        <w:wordWrap/>
        <w:overflowPunct/>
        <w:topLinePunct w:val="0"/>
        <w:bidi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第十三条</w:t>
      </w:r>
      <w:r>
        <w:rPr>
          <w:rFonts w:hint="eastAsia" w:ascii="黑体" w:hAnsi="黑体" w:eastAsia="黑体" w:cs="黑体"/>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鼓励企业进行</w:t>
      </w:r>
      <w:r>
        <w:rPr>
          <w:rFonts w:hint="eastAsia" w:ascii="仿宋_GB2312" w:hAnsi="仿宋_GB2312" w:eastAsia="仿宋_GB2312" w:cs="仿宋_GB2312"/>
          <w:b w:val="0"/>
          <w:bCs w:val="0"/>
          <w:color w:val="auto"/>
          <w:sz w:val="32"/>
          <w:szCs w:val="32"/>
          <w:highlight w:val="none"/>
        </w:rPr>
        <w:t>股权融资</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对进入</w:t>
      </w:r>
      <w:r>
        <w:rPr>
          <w:rFonts w:hint="eastAsia" w:ascii="仿宋_GB2312" w:hAnsi="仿宋_GB2312" w:eastAsia="仿宋_GB2312" w:cs="仿宋_GB2312"/>
          <w:b w:val="0"/>
          <w:bCs w:val="0"/>
          <w:color w:val="auto"/>
          <w:sz w:val="32"/>
          <w:szCs w:val="32"/>
          <w:highlight w:val="none"/>
          <w:lang w:eastAsia="zh-CN"/>
        </w:rPr>
        <w:t>北京区域性股权市场</w:t>
      </w:r>
      <w:r>
        <w:rPr>
          <w:rFonts w:hint="eastAsia" w:ascii="仿宋_GB2312" w:hAnsi="仿宋_GB2312" w:eastAsia="仿宋_GB2312" w:cs="仿宋_GB2312"/>
          <w:b w:val="0"/>
          <w:bCs w:val="0"/>
          <w:color w:val="auto"/>
          <w:sz w:val="32"/>
          <w:szCs w:val="32"/>
          <w:highlight w:val="none"/>
        </w:rPr>
        <w:t>“专精特新”专板的企业，对实际融资金额在1.2亿元（含）以上的，一次性给予30万元奖励；对实际融资金额在4000万元（含）——1.2亿元的，一次性</w:t>
      </w:r>
      <w:r>
        <w:rPr>
          <w:rFonts w:hint="eastAsia" w:ascii="仿宋_GB2312" w:hAnsi="仿宋_GB2312" w:eastAsia="仿宋_GB2312" w:cs="仿宋_GB2312"/>
          <w:b w:val="0"/>
          <w:bCs w:val="0"/>
          <w:color w:val="auto"/>
          <w:sz w:val="32"/>
          <w:szCs w:val="32"/>
          <w:highlight w:val="none"/>
          <w:lang w:eastAsia="zh-CN"/>
        </w:rPr>
        <w:t>给予</w:t>
      </w:r>
      <w:r>
        <w:rPr>
          <w:rFonts w:hint="eastAsia" w:ascii="仿宋_GB2312" w:hAnsi="仿宋_GB2312" w:eastAsia="仿宋_GB2312" w:cs="仿宋_GB2312"/>
          <w:b w:val="0"/>
          <w:bCs w:val="0"/>
          <w:color w:val="auto"/>
          <w:sz w:val="32"/>
          <w:szCs w:val="32"/>
          <w:highlight w:val="none"/>
        </w:rPr>
        <w:t>20万元奖励；对实际融资金额在1000万元（含）——4000万元的，一次性给予10万元奖励。</w:t>
      </w:r>
    </w:p>
    <w:p>
      <w:pPr>
        <w:pStyle w:val="14"/>
        <w:keepNext w:val="0"/>
        <w:keepLines w:val="0"/>
        <w:pageBreakBefore w:val="0"/>
        <w:widowControl w:val="0"/>
        <w:kinsoku/>
        <w:wordWrap/>
        <w:overflowPunct/>
        <w:topLinePunct w:val="0"/>
        <w:bidi w:val="0"/>
        <w:spacing w:beforeAutospacing="0" w:afterAutospacing="0" w:line="560" w:lineRule="exact"/>
        <w:ind w:left="0" w:leftChars="0" w:right="0" w:rightChars="0" w:firstLine="640" w:firstLineChars="200"/>
        <w:jc w:val="both"/>
        <w:textAlignment w:val="auto"/>
        <w:outlineLvl w:val="9"/>
        <w:rPr>
          <w:rFonts w:hint="eastAsia" w:ascii="仿宋_GB2312" w:hAnsi="Calibri" w:eastAsia="仿宋_GB2312"/>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第十四条</w:t>
      </w:r>
      <w:r>
        <w:rPr>
          <w:rFonts w:hint="eastAsia" w:ascii="黑体" w:hAnsi="黑体" w:eastAsia="黑体" w:cs="黑体"/>
          <w:b w:val="0"/>
          <w:bCs w:val="0"/>
          <w:color w:val="auto"/>
          <w:sz w:val="32"/>
          <w:szCs w:val="32"/>
          <w:highlight w:val="none"/>
          <w:lang w:val="en-US" w:eastAsia="zh-CN"/>
        </w:rPr>
        <w:t xml:space="preserve">  </w:t>
      </w:r>
      <w:r>
        <w:rPr>
          <w:rFonts w:hint="eastAsia" w:ascii="仿宋_GB2312" w:hAnsi="Calibri" w:eastAsia="仿宋_GB2312"/>
          <w:b w:val="0"/>
          <w:bCs w:val="0"/>
          <w:color w:val="auto"/>
          <w:sz w:val="32"/>
          <w:szCs w:val="32"/>
          <w:highlight w:val="none"/>
        </w:rPr>
        <w:t>鼓励开展基金份额转让</w:t>
      </w:r>
      <w:r>
        <w:rPr>
          <w:rFonts w:hint="eastAsia" w:ascii="仿宋_GB2312" w:hAnsi="Calibri" w:eastAsia="仿宋_GB2312"/>
          <w:b w:val="0"/>
          <w:bCs w:val="0"/>
          <w:color w:val="auto"/>
          <w:sz w:val="32"/>
          <w:szCs w:val="32"/>
          <w:highlight w:val="none"/>
          <w:lang w:eastAsia="zh-CN"/>
        </w:rPr>
        <w:t>。</w:t>
      </w:r>
      <w:r>
        <w:rPr>
          <w:rFonts w:hint="eastAsia" w:ascii="仿宋_GB2312" w:hAnsi="Calibri" w:eastAsia="仿宋_GB2312"/>
          <w:b w:val="0"/>
          <w:bCs w:val="0"/>
          <w:color w:val="auto"/>
          <w:sz w:val="32"/>
          <w:szCs w:val="32"/>
          <w:highlight w:val="none"/>
        </w:rPr>
        <w:t>支持</w:t>
      </w:r>
      <w:r>
        <w:rPr>
          <w:rFonts w:hint="eastAsia" w:ascii="仿宋_GB2312" w:hAnsi="Calibri" w:eastAsia="仿宋_GB2312"/>
          <w:b w:val="0"/>
          <w:bCs w:val="0"/>
          <w:color w:val="auto"/>
          <w:sz w:val="32"/>
          <w:szCs w:val="32"/>
          <w:highlight w:val="none"/>
          <w:lang w:eastAsia="zh-CN"/>
        </w:rPr>
        <w:t>基金管理人</w:t>
      </w:r>
      <w:r>
        <w:rPr>
          <w:rFonts w:hint="eastAsia" w:ascii="仿宋_GB2312" w:hAnsi="Calibri" w:eastAsia="仿宋_GB2312"/>
          <w:b w:val="0"/>
          <w:bCs w:val="0"/>
          <w:color w:val="auto"/>
          <w:sz w:val="32"/>
          <w:szCs w:val="32"/>
          <w:highlight w:val="none"/>
        </w:rPr>
        <w:t>以及S基金等在北京股权交易中心基金份额转让平台开展份额转让交易，</w:t>
      </w:r>
      <w:r>
        <w:rPr>
          <w:rFonts w:hint="eastAsia" w:ascii="仿宋_GB2312" w:hAnsi="Calibri" w:eastAsia="仿宋_GB2312"/>
          <w:b w:val="0"/>
          <w:bCs w:val="0"/>
          <w:color w:val="auto"/>
          <w:sz w:val="32"/>
          <w:szCs w:val="32"/>
          <w:highlight w:val="none"/>
          <w:lang w:eastAsia="zh-CN"/>
        </w:rPr>
        <w:t>按照</w:t>
      </w:r>
      <w:r>
        <w:rPr>
          <w:rFonts w:hint="eastAsia" w:ascii="仿宋_GB2312" w:hAnsi="Calibri" w:eastAsia="仿宋_GB2312"/>
          <w:b w:val="0"/>
          <w:bCs w:val="0"/>
          <w:color w:val="auto"/>
          <w:sz w:val="32"/>
          <w:szCs w:val="32"/>
          <w:highlight w:val="none"/>
        </w:rPr>
        <w:t>转让过程中产生费用</w:t>
      </w:r>
      <w:r>
        <w:rPr>
          <w:rFonts w:hint="eastAsia" w:ascii="仿宋_GB2312" w:hAnsi="Calibri" w:eastAsia="仿宋_GB2312"/>
          <w:b w:val="0"/>
          <w:bCs w:val="0"/>
          <w:color w:val="auto"/>
          <w:sz w:val="32"/>
          <w:szCs w:val="32"/>
          <w:highlight w:val="none"/>
          <w:lang w:eastAsia="zh-CN"/>
        </w:rPr>
        <w:t>的</w:t>
      </w:r>
      <w:r>
        <w:rPr>
          <w:rFonts w:hint="eastAsia" w:ascii="仿宋_GB2312" w:hAnsi="Calibri" w:eastAsia="仿宋_GB2312"/>
          <w:b w:val="0"/>
          <w:bCs w:val="0"/>
          <w:color w:val="auto"/>
          <w:sz w:val="32"/>
          <w:szCs w:val="32"/>
          <w:highlight w:val="none"/>
          <w:lang w:val="en-US" w:eastAsia="zh-CN"/>
        </w:rPr>
        <w:t>40%</w:t>
      </w:r>
      <w:r>
        <w:rPr>
          <w:rFonts w:hint="eastAsia" w:ascii="仿宋_GB2312" w:hAnsi="Calibri" w:eastAsia="仿宋_GB2312"/>
          <w:b w:val="0"/>
          <w:bCs w:val="0"/>
          <w:color w:val="auto"/>
          <w:sz w:val="32"/>
          <w:szCs w:val="32"/>
          <w:highlight w:val="none"/>
        </w:rPr>
        <w:t>，</w:t>
      </w:r>
      <w:r>
        <w:rPr>
          <w:rFonts w:hint="eastAsia" w:ascii="仿宋_GB2312" w:hAnsi="Calibri" w:eastAsia="仿宋_GB2312"/>
          <w:b w:val="0"/>
          <w:bCs w:val="0"/>
          <w:color w:val="auto"/>
          <w:sz w:val="32"/>
          <w:szCs w:val="32"/>
          <w:highlight w:val="none"/>
          <w:lang w:eastAsia="zh-CN"/>
        </w:rPr>
        <w:t>给予最高</w:t>
      </w:r>
      <w:r>
        <w:rPr>
          <w:rFonts w:hint="eastAsia" w:ascii="仿宋_GB2312" w:hAnsi="Calibri" w:eastAsia="仿宋_GB2312"/>
          <w:b w:val="0"/>
          <w:bCs w:val="0"/>
          <w:color w:val="auto"/>
          <w:sz w:val="32"/>
          <w:szCs w:val="32"/>
          <w:highlight w:val="none"/>
          <w:lang w:val="en-US" w:eastAsia="zh-CN"/>
        </w:rPr>
        <w:t>100万元</w:t>
      </w:r>
      <w:r>
        <w:rPr>
          <w:rFonts w:hint="eastAsia" w:ascii="仿宋_GB2312" w:hAnsi="Calibri" w:eastAsia="仿宋_GB2312"/>
          <w:b w:val="0"/>
          <w:bCs w:val="0"/>
          <w:color w:val="auto"/>
          <w:sz w:val="32"/>
          <w:szCs w:val="32"/>
          <w:highlight w:val="none"/>
          <w:lang w:eastAsia="zh-CN"/>
        </w:rPr>
        <w:t>资金支持。</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Calibri" w:eastAsia="仿宋_GB2312"/>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第十五条</w:t>
      </w:r>
      <w:r>
        <w:rPr>
          <w:rFonts w:hint="eastAsia" w:ascii="黑体" w:hAnsi="黑体" w:eastAsia="黑体" w:cs="黑体"/>
          <w:b w:val="0"/>
          <w:bCs w:val="0"/>
          <w:color w:val="auto"/>
          <w:sz w:val="32"/>
          <w:szCs w:val="32"/>
          <w:highlight w:val="none"/>
          <w:lang w:val="en-US" w:eastAsia="zh-CN"/>
        </w:rPr>
        <w:t xml:space="preserve">  </w:t>
      </w:r>
      <w:r>
        <w:rPr>
          <w:rFonts w:hint="eastAsia" w:ascii="仿宋_GB2312" w:hAnsi="Calibri" w:eastAsia="仿宋_GB2312"/>
          <w:b w:val="0"/>
          <w:bCs w:val="0"/>
          <w:color w:val="auto"/>
          <w:sz w:val="32"/>
          <w:szCs w:val="32"/>
          <w:highlight w:val="none"/>
        </w:rPr>
        <w:t>加大对</w:t>
      </w:r>
      <w:r>
        <w:rPr>
          <w:rFonts w:hint="eastAsia" w:ascii="仿宋_GB2312" w:hAnsi="Calibri" w:eastAsia="仿宋_GB2312"/>
          <w:b w:val="0"/>
          <w:bCs w:val="0"/>
          <w:color w:val="auto"/>
          <w:sz w:val="32"/>
          <w:szCs w:val="32"/>
          <w:highlight w:val="none"/>
          <w:lang w:eastAsia="zh-CN"/>
        </w:rPr>
        <w:t>科技</w:t>
      </w:r>
      <w:r>
        <w:rPr>
          <w:rFonts w:hint="eastAsia" w:ascii="仿宋_GB2312" w:hAnsi="Calibri" w:eastAsia="仿宋_GB2312"/>
          <w:b w:val="0"/>
          <w:bCs w:val="0"/>
          <w:color w:val="auto"/>
          <w:sz w:val="32"/>
          <w:szCs w:val="32"/>
          <w:highlight w:val="none"/>
        </w:rPr>
        <w:t>企业的直接融资支持力度。对</w:t>
      </w:r>
      <w:r>
        <w:rPr>
          <w:rFonts w:hint="eastAsia" w:ascii="仿宋_GB2312" w:hAnsi="Calibri" w:eastAsia="仿宋_GB2312"/>
          <w:b w:val="0"/>
          <w:bCs w:val="0"/>
          <w:color w:val="auto"/>
          <w:sz w:val="32"/>
          <w:szCs w:val="32"/>
          <w:highlight w:val="none"/>
          <w:lang w:eastAsia="zh-CN"/>
        </w:rPr>
        <w:t>科技</w:t>
      </w:r>
      <w:r>
        <w:rPr>
          <w:rFonts w:hint="eastAsia" w:ascii="仿宋_GB2312" w:hAnsi="Calibri" w:eastAsia="仿宋_GB2312"/>
          <w:b w:val="0"/>
          <w:bCs w:val="0"/>
          <w:color w:val="auto"/>
          <w:sz w:val="32"/>
          <w:szCs w:val="32"/>
          <w:highlight w:val="none"/>
        </w:rPr>
        <w:t>企业发行的经国家有关部门批准并符合国家重点战略方向的</w:t>
      </w:r>
      <w:r>
        <w:rPr>
          <w:rFonts w:hint="eastAsia" w:ascii="仿宋_GB2312" w:hAnsi="Calibri" w:eastAsia="仿宋_GB2312"/>
          <w:b w:val="0"/>
          <w:bCs w:val="0"/>
          <w:color w:val="auto"/>
          <w:sz w:val="32"/>
          <w:szCs w:val="32"/>
          <w:highlight w:val="none"/>
          <w:lang w:eastAsia="zh-CN"/>
        </w:rPr>
        <w:t>公司债券</w:t>
      </w:r>
      <w:r>
        <w:rPr>
          <w:rFonts w:hint="eastAsia" w:ascii="仿宋_GB2312" w:hAnsi="Calibri" w:eastAsia="仿宋_GB2312"/>
          <w:b w:val="0"/>
          <w:bCs w:val="0"/>
          <w:color w:val="auto"/>
          <w:sz w:val="32"/>
          <w:szCs w:val="32"/>
          <w:highlight w:val="none"/>
        </w:rPr>
        <w:t>、北京股权交易中心私募</w:t>
      </w:r>
      <w:r>
        <w:rPr>
          <w:rFonts w:hint="eastAsia" w:ascii="仿宋_GB2312" w:hAnsi="Calibri" w:eastAsia="仿宋_GB2312"/>
          <w:b w:val="0"/>
          <w:bCs w:val="0"/>
          <w:color w:val="auto"/>
          <w:sz w:val="32"/>
          <w:szCs w:val="32"/>
          <w:highlight w:val="none"/>
          <w:lang w:eastAsia="zh-CN"/>
        </w:rPr>
        <w:t>债权类产品</w:t>
      </w:r>
      <w:r>
        <w:rPr>
          <w:rFonts w:hint="eastAsia" w:ascii="仿宋_GB2312" w:hAnsi="Calibri" w:eastAsia="仿宋_GB2312"/>
          <w:b w:val="0"/>
          <w:bCs w:val="0"/>
          <w:color w:val="auto"/>
          <w:sz w:val="32"/>
          <w:szCs w:val="32"/>
          <w:highlight w:val="none"/>
        </w:rPr>
        <w:t>等直接融资产品</w:t>
      </w:r>
      <w:r>
        <w:rPr>
          <w:rFonts w:hint="eastAsia" w:ascii="仿宋_GB2312" w:hAnsi="Calibri" w:eastAsia="仿宋_GB2312"/>
          <w:b w:val="0"/>
          <w:bCs w:val="0"/>
          <w:color w:val="auto"/>
          <w:sz w:val="32"/>
          <w:szCs w:val="32"/>
          <w:highlight w:val="none"/>
          <w:lang w:eastAsia="zh-CN"/>
        </w:rPr>
        <w:t>，</w:t>
      </w:r>
      <w:r>
        <w:rPr>
          <w:rFonts w:hint="eastAsia" w:ascii="仿宋_GB2312" w:hAnsi="Calibri" w:eastAsia="仿宋_GB2312"/>
          <w:b w:val="0"/>
          <w:bCs w:val="0"/>
          <w:color w:val="auto"/>
          <w:sz w:val="32"/>
          <w:szCs w:val="32"/>
          <w:highlight w:val="none"/>
          <w:lang w:val="en-US" w:eastAsia="zh-CN"/>
        </w:rPr>
        <w:t>按照实际支付利息的50%进行贴息</w:t>
      </w:r>
      <w:r>
        <w:rPr>
          <w:rFonts w:hint="eastAsia" w:ascii="仿宋_GB2312" w:hAnsi="Calibri" w:eastAsia="仿宋_GB2312"/>
          <w:b w:val="0"/>
          <w:bCs w:val="0"/>
          <w:color w:val="auto"/>
          <w:sz w:val="32"/>
          <w:szCs w:val="32"/>
          <w:highlight w:val="none"/>
        </w:rPr>
        <w:t>，</w:t>
      </w:r>
      <w:r>
        <w:rPr>
          <w:rFonts w:hint="eastAsia" w:ascii="仿宋_GB2312" w:hAnsi="Calibri" w:eastAsia="仿宋_GB2312"/>
          <w:b w:val="0"/>
          <w:bCs w:val="0"/>
          <w:color w:val="auto"/>
          <w:sz w:val="32"/>
          <w:szCs w:val="32"/>
          <w:highlight w:val="none"/>
          <w:lang w:eastAsia="zh-CN"/>
        </w:rPr>
        <w:t>每家企业每年最高贴息</w:t>
      </w:r>
      <w:r>
        <w:rPr>
          <w:rFonts w:hint="eastAsia" w:ascii="仿宋_GB2312" w:hAnsi="Calibri" w:eastAsia="仿宋_GB2312"/>
          <w:b w:val="0"/>
          <w:bCs w:val="0"/>
          <w:color w:val="auto"/>
          <w:sz w:val="32"/>
          <w:szCs w:val="32"/>
          <w:highlight w:val="none"/>
        </w:rPr>
        <w:t>100万元。</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highlight w:val="none"/>
          <w:lang w:eastAsia="zh-CN"/>
        </w:rPr>
      </w:pPr>
      <w:r>
        <w:rPr>
          <w:rFonts w:hint="eastAsia" w:ascii="黑体" w:hAnsi="黑体" w:eastAsia="黑体" w:cs="黑体"/>
          <w:b w:val="0"/>
          <w:bCs w:val="0"/>
          <w:color w:val="auto"/>
          <w:sz w:val="32"/>
          <w:szCs w:val="32"/>
          <w:highlight w:val="none"/>
          <w:lang w:eastAsia="zh-CN"/>
        </w:rPr>
        <w:t>第十六条</w:t>
      </w:r>
      <w:r>
        <w:rPr>
          <w:rFonts w:hint="eastAsia" w:ascii="黑体" w:hAnsi="黑体" w:eastAsia="黑体" w:cs="黑体"/>
          <w:b w:val="0"/>
          <w:bCs w:val="0"/>
          <w:color w:val="auto"/>
          <w:sz w:val="32"/>
          <w:szCs w:val="32"/>
          <w:highlight w:val="none"/>
          <w:lang w:val="en-US" w:eastAsia="zh-CN"/>
        </w:rPr>
        <w:t xml:space="preserve">  </w:t>
      </w:r>
      <w:bookmarkStart w:id="7" w:name="OLE_LINK5"/>
      <w:r>
        <w:rPr>
          <w:rFonts w:hint="eastAsia" w:ascii="仿宋_GB2312" w:hAnsi="Calibri" w:eastAsia="仿宋_GB2312" w:cs="Times New Roman"/>
          <w:b w:val="0"/>
          <w:bCs w:val="0"/>
          <w:color w:val="auto"/>
          <w:kern w:val="2"/>
          <w:sz w:val="32"/>
          <w:szCs w:val="32"/>
          <w:highlight w:val="none"/>
          <w:lang w:val="en-US" w:eastAsia="zh-CN" w:bidi="ar-SA"/>
        </w:rPr>
        <w:t>完善科技创新债券配套支持机制。为科技创新债券提供贴息支持，鼓励金融机构、科技企业、股权投资机构发行科技创新债券，募集资金用于支持科技创新领域投融资，对发行科创债的机构，按照实际支付利息的50%进行贴息，每家机构每年最高贴息200万元。建立风险分担机制，鼓励融资担保类机构开展支持科创债发行和投资交易的担保业务，对发生代偿的，按照代偿本金部分的50%给予风险补偿，每家机构每年最高补偿200万元。</w:t>
      </w:r>
      <w:bookmarkEnd w:id="7"/>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color w:val="auto"/>
          <w:highlight w:val="none"/>
        </w:rPr>
      </w:pPr>
      <w:r>
        <w:rPr>
          <w:rFonts w:hint="eastAsia" w:ascii="黑体" w:hAnsi="黑体" w:eastAsia="黑体" w:cs="黑体"/>
          <w:b w:val="0"/>
          <w:bCs w:val="0"/>
          <w:color w:val="auto"/>
          <w:sz w:val="32"/>
          <w:szCs w:val="32"/>
          <w:highlight w:val="none"/>
          <w:lang w:eastAsia="zh-CN"/>
        </w:rPr>
        <w:t>第十七条</w:t>
      </w:r>
      <w:r>
        <w:rPr>
          <w:rFonts w:hint="eastAsia" w:ascii="黑体" w:hAnsi="黑体" w:eastAsia="黑体" w:cs="黑体"/>
          <w:b w:val="0"/>
          <w:bCs w:val="0"/>
          <w:color w:val="auto"/>
          <w:sz w:val="32"/>
          <w:szCs w:val="32"/>
          <w:highlight w:val="none"/>
          <w:lang w:val="en-US" w:eastAsia="zh-CN"/>
        </w:rPr>
        <w:t xml:space="preserve">  </w:t>
      </w:r>
      <w:r>
        <w:rPr>
          <w:rFonts w:hint="eastAsia" w:ascii="仿宋_GB2312" w:hAnsi="Calibri" w:eastAsia="仿宋_GB2312" w:cs="Times New Roman"/>
          <w:b w:val="0"/>
          <w:bCs w:val="0"/>
          <w:color w:val="auto"/>
          <w:kern w:val="2"/>
          <w:sz w:val="32"/>
          <w:szCs w:val="32"/>
          <w:highlight w:val="none"/>
          <w:lang w:val="en-US" w:eastAsia="zh-CN" w:bidi="ar-SA"/>
        </w:rPr>
        <w:t>鼓励证券经营机构提质增效。支持探索科技金融等特色业务模式，为科技企业提供综合金融服务，对于优化配套服务、提升融资便利的证券营业部，按照业务增长情况，每家营业部每年给予最高100万元资金奖励。</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Calibri" w:eastAsia="仿宋_GB2312" w:cs="Times New Roman"/>
          <w:b w:val="0"/>
          <w:bCs w:val="0"/>
          <w:color w:val="auto"/>
          <w:kern w:val="2"/>
          <w:sz w:val="32"/>
          <w:szCs w:val="32"/>
          <w:highlight w:val="none"/>
          <w:lang w:val="en-US" w:eastAsia="zh-CN" w:bidi="ar-SA"/>
        </w:rPr>
      </w:pPr>
      <w:r>
        <w:rPr>
          <w:rFonts w:hint="eastAsia" w:ascii="黑体" w:hAnsi="黑体" w:eastAsia="黑体" w:cs="黑体"/>
          <w:b w:val="0"/>
          <w:bCs w:val="0"/>
          <w:color w:val="auto"/>
          <w:sz w:val="32"/>
          <w:szCs w:val="32"/>
          <w:highlight w:val="none"/>
          <w:lang w:eastAsia="zh-CN"/>
        </w:rPr>
        <w:t>第十八条</w:t>
      </w:r>
      <w:r>
        <w:rPr>
          <w:rFonts w:hint="eastAsia" w:ascii="黑体" w:hAnsi="黑体" w:eastAsia="黑体" w:cs="黑体"/>
          <w:b w:val="0"/>
          <w:bCs w:val="0"/>
          <w:color w:val="auto"/>
          <w:sz w:val="32"/>
          <w:szCs w:val="32"/>
          <w:highlight w:val="none"/>
          <w:lang w:val="en-US" w:eastAsia="zh-CN"/>
        </w:rPr>
        <w:t xml:space="preserve">  </w:t>
      </w:r>
      <w:r>
        <w:rPr>
          <w:rFonts w:hint="eastAsia" w:ascii="仿宋_GB2312" w:hAnsi="Calibri" w:eastAsia="仿宋_GB2312" w:cs="Times New Roman"/>
          <w:b w:val="0"/>
          <w:bCs w:val="0"/>
          <w:color w:val="auto"/>
          <w:kern w:val="2"/>
          <w:sz w:val="32"/>
          <w:szCs w:val="32"/>
          <w:highlight w:val="none"/>
          <w:lang w:val="en-US" w:eastAsia="zh-CN" w:bidi="ar-SA"/>
        </w:rPr>
        <w:t>鼓励开展并购重组。支持科技企业发挥产业链链主功能，围绕产业链关键环节开展并购重组，在全市乃至全国开展优质项目并购，按照并购交易额的1%给予最高100万元资金支持，引导更多资源要素向新质生产力方向集聚，提升产业集中度和竞争力，推动高精尖产业快速发展。</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黑体" w:hAnsi="黑体" w:eastAsia="黑体" w:cs="黑体"/>
          <w:bCs/>
          <w:color w:val="auto"/>
          <w:kern w:val="0"/>
          <w:sz w:val="32"/>
          <w:szCs w:val="32"/>
          <w:highlight w:val="none"/>
          <w:lang w:val="en-US" w:eastAsia="zh-CN"/>
        </w:rPr>
      </w:pPr>
      <w:r>
        <w:rPr>
          <w:rFonts w:hint="eastAsia" w:ascii="黑体" w:hAnsi="黑体" w:eastAsia="黑体" w:cs="黑体"/>
          <w:bCs/>
          <w:color w:val="auto"/>
          <w:kern w:val="0"/>
          <w:sz w:val="32"/>
          <w:szCs w:val="32"/>
          <w:highlight w:val="none"/>
          <w:lang w:val="en-US" w:eastAsia="zh-CN"/>
        </w:rPr>
        <w:t>第五章  附则</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十九条</w:t>
      </w:r>
      <w:r>
        <w:rPr>
          <w:rFonts w:hint="eastAsia" w:ascii="仿宋_GB2312" w:hAnsi="仿宋_GB2312" w:eastAsia="仿宋_GB2312" w:cs="仿宋_GB2312"/>
          <w:bCs/>
          <w:color w:val="auto"/>
          <w:sz w:val="32"/>
          <w:szCs w:val="32"/>
          <w:highlight w:val="none"/>
          <w:lang w:eastAsia="zh-CN"/>
        </w:rPr>
        <w:t xml:space="preserve">  </w:t>
      </w:r>
      <w:r>
        <w:rPr>
          <w:rFonts w:hint="eastAsia" w:ascii="仿宋_GB2312" w:hAnsi="仿宋_GB2312" w:eastAsia="仿宋_GB2312" w:cs="仿宋_GB2312"/>
          <w:bCs/>
          <w:color w:val="auto"/>
          <w:sz w:val="32"/>
          <w:szCs w:val="32"/>
          <w:highlight w:val="none"/>
        </w:rPr>
        <w:t>科创金融支持资金的管理和使用应遵循公开透明、专款专用、注重实效的原则；同一项目、同一事项同时符合本细则多项政策或昌平区其他扶持政策的，按照“从优不重复”原则予以支持。符合市级其他支持政策规定的，可申请同时享受市、区两级政策支持，另有规定的除外。</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lang w:eastAsia="zh-CN"/>
        </w:rPr>
      </w:pPr>
      <w:r>
        <w:rPr>
          <w:rFonts w:hint="eastAsia" w:ascii="黑体" w:hAnsi="黑体" w:eastAsia="黑体" w:cs="黑体"/>
          <w:bCs/>
          <w:color w:val="auto"/>
          <w:sz w:val="32"/>
          <w:szCs w:val="32"/>
          <w:highlight w:val="none"/>
        </w:rPr>
        <w:t>第</w:t>
      </w:r>
      <w:r>
        <w:rPr>
          <w:rFonts w:hint="eastAsia" w:ascii="黑体" w:hAnsi="黑体" w:eastAsia="黑体" w:cs="黑体"/>
          <w:bCs/>
          <w:color w:val="auto"/>
          <w:sz w:val="32"/>
          <w:szCs w:val="32"/>
          <w:highlight w:val="none"/>
          <w:lang w:eastAsia="zh-CN"/>
        </w:rPr>
        <w:t xml:space="preserve">二十条  </w:t>
      </w:r>
      <w:r>
        <w:rPr>
          <w:rFonts w:hint="eastAsia" w:ascii="仿宋_GB2312" w:hAnsi="微软雅黑" w:eastAsia="仿宋_GB2312"/>
          <w:color w:val="auto"/>
          <w:sz w:val="32"/>
          <w:szCs w:val="32"/>
          <w:highlight w:val="none"/>
        </w:rPr>
        <w:t>本</w:t>
      </w:r>
      <w:r>
        <w:rPr>
          <w:rFonts w:hint="eastAsia" w:ascii="仿宋_GB2312" w:hAnsi="微软雅黑" w:eastAsia="仿宋_GB2312"/>
          <w:color w:val="auto"/>
          <w:sz w:val="32"/>
          <w:szCs w:val="32"/>
          <w:highlight w:val="none"/>
          <w:lang w:eastAsia="zh-CN"/>
        </w:rPr>
        <w:t>实施</w:t>
      </w:r>
      <w:r>
        <w:rPr>
          <w:rFonts w:hint="eastAsia" w:ascii="仿宋_GB2312" w:hAnsi="微软雅黑" w:eastAsia="仿宋_GB2312"/>
          <w:color w:val="auto"/>
          <w:sz w:val="32"/>
          <w:szCs w:val="32"/>
          <w:highlight w:val="none"/>
        </w:rPr>
        <w:t>细则由</w:t>
      </w:r>
      <w:r>
        <w:rPr>
          <w:rFonts w:hint="eastAsia" w:ascii="仿宋_GB2312" w:hAnsi="微软雅黑" w:eastAsia="仿宋_GB2312"/>
          <w:color w:val="auto"/>
          <w:sz w:val="32"/>
          <w:szCs w:val="32"/>
          <w:highlight w:val="none"/>
          <w:lang w:eastAsia="zh-CN"/>
        </w:rPr>
        <w:t>北京市昌平</w:t>
      </w:r>
      <w:r>
        <w:rPr>
          <w:rFonts w:hint="eastAsia" w:ascii="仿宋_GB2312" w:hAnsi="微软雅黑" w:eastAsia="仿宋_GB2312"/>
          <w:color w:val="auto"/>
          <w:sz w:val="32"/>
          <w:szCs w:val="32"/>
          <w:highlight w:val="none"/>
        </w:rPr>
        <w:t>区</w:t>
      </w:r>
      <w:r>
        <w:rPr>
          <w:rFonts w:hint="eastAsia" w:ascii="仿宋_GB2312" w:hAnsi="微软雅黑" w:eastAsia="仿宋_GB2312"/>
          <w:color w:val="auto"/>
          <w:sz w:val="32"/>
          <w:szCs w:val="32"/>
          <w:highlight w:val="none"/>
          <w:lang w:eastAsia="zh-CN"/>
        </w:rPr>
        <w:t>发展和改革委员会</w:t>
      </w:r>
      <w:r>
        <w:rPr>
          <w:rFonts w:hint="eastAsia" w:ascii="仿宋_GB2312" w:hAnsi="微软雅黑" w:eastAsia="仿宋_GB2312"/>
          <w:color w:val="auto"/>
          <w:sz w:val="32"/>
          <w:szCs w:val="32"/>
          <w:highlight w:val="none"/>
        </w:rPr>
        <w:t>负责解释</w:t>
      </w:r>
      <w:r>
        <w:rPr>
          <w:rFonts w:hint="eastAsia" w:ascii="仿宋_GB2312" w:hAnsi="微软雅黑" w:eastAsia="仿宋_GB2312"/>
          <w:color w:val="auto"/>
          <w:sz w:val="32"/>
          <w:szCs w:val="32"/>
          <w:highlight w:val="none"/>
          <w:lang w:eastAsia="zh-CN"/>
        </w:rPr>
        <w:t>，自印发之日起施行，有效期至</w:t>
      </w:r>
      <w:r>
        <w:rPr>
          <w:rFonts w:hint="eastAsia" w:ascii="仿宋_GB2312" w:hAnsi="微软雅黑" w:eastAsia="仿宋_GB2312"/>
          <w:color w:val="auto"/>
          <w:sz w:val="32"/>
          <w:szCs w:val="32"/>
          <w:highlight w:val="none"/>
          <w:lang w:val="en-US" w:eastAsia="zh-CN"/>
        </w:rPr>
        <w:t>2026年5月31日，</w:t>
      </w:r>
      <w:r>
        <w:rPr>
          <w:rFonts w:hint="eastAsia" w:ascii="仿宋_GB2312" w:hAnsi="微软雅黑" w:eastAsia="仿宋_GB2312"/>
          <w:color w:val="auto"/>
          <w:sz w:val="32"/>
          <w:szCs w:val="32"/>
          <w:highlight w:val="none"/>
        </w:rPr>
        <w:t>施行期间如遇国家及市级相关政策变动，将作相应调整。</w:t>
      </w:r>
      <w:r>
        <w:rPr>
          <w:rFonts w:hint="eastAsia" w:ascii="仿宋_GB2312" w:hAnsi="微软雅黑" w:eastAsia="仿宋_GB2312"/>
          <w:color w:val="auto"/>
          <w:sz w:val="32"/>
          <w:szCs w:val="32"/>
          <w:highlight w:val="none"/>
          <w:lang w:val="en-US" w:eastAsia="zh-CN"/>
        </w:rPr>
        <w:t>2024年1月1日至本实施细则印发之日，符合本实施细则相关规定的各类补贴、奖励等，均参照本实施细则执行。《昌平区落实关于金融促进未来科学城创新发展的若干措施实施细则》（昌政办发〔2023〕15号）同时废止。</w:t>
      </w:r>
    </w:p>
    <w:p>
      <w:pPr>
        <w:keepNext w:val="0"/>
        <w:keepLines w:val="0"/>
        <w:pageBreakBefore w:val="0"/>
        <w:widowControl w:val="0"/>
        <w:kinsoku/>
        <w:wordWrap/>
        <w:overflowPunct/>
        <w:topLinePunct w:val="0"/>
        <w:autoSpaceDE/>
        <w:autoSpaceDN/>
        <w:bidi w:val="0"/>
        <w:spacing w:before="120" w:line="540" w:lineRule="exact"/>
        <w:ind w:left="0" w:leftChars="0" w:right="0" w:rightChars="0"/>
        <w:textAlignment w:val="auto"/>
        <w:outlineLvl w:val="9"/>
        <w:rPr>
          <w:rFonts w:hint="eastAsia"/>
          <w:color w:val="auto"/>
          <w:sz w:val="32"/>
          <w:szCs w:val="32"/>
          <w:highlight w:val="none"/>
        </w:rPr>
      </w:pPr>
    </w:p>
    <w:sectPr>
      <w:footerReference r:id="rId3" w:type="default"/>
      <w:footerReference r:id="rId4" w:type="even"/>
      <w:pgSz w:w="11906" w:h="16838"/>
      <w:pgMar w:top="2098" w:right="1531" w:bottom="1985" w:left="1531" w:header="851" w:footer="1531"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Monaco">
    <w:altName w:val="Courier New"/>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Gulim">
    <w:panose1 w:val="020B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汉仪中黑 197">
    <w:panose1 w:val="00020600040101010101"/>
    <w:charset w:val="86"/>
    <w:family w:val="auto"/>
    <w:pitch w:val="default"/>
    <w:sig w:usb0="A00002BF" w:usb1="18EF7CFA" w:usb2="00000016" w:usb3="00000000" w:csb0="0004009F" w:csb1="00000000"/>
  </w:font>
  <w:font w:name="方正黄庭坚行书 简繁">
    <w:panose1 w:val="02000500000000000000"/>
    <w:charset w:val="86"/>
    <w:family w:val="auto"/>
    <w:pitch w:val="default"/>
    <w:sig w:usb0="A00002BF" w:usb1="18CF7CFA" w:usb2="00000016" w:usb3="00000000" w:csb0="00040001" w:csb1="00000000"/>
  </w:font>
  <w:font w:name="方正魏碑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方正爨宝子碑楷书 简">
    <w:panose1 w:val="02000500000000000000"/>
    <w:charset w:val="86"/>
    <w:family w:val="auto"/>
    <w:pitch w:val="default"/>
    <w:sig w:usb0="A00002BF" w:usb1="184F6CFA" w:usb2="00000012" w:usb3="00000000" w:csb0="00040001" w:csb1="00000000"/>
  </w:font>
  <w:font w:name="仿宋_GB2312">
    <w:panose1 w:val="02010609030101010101"/>
    <w:charset w:val="52"/>
    <w:family w:val="modern"/>
    <w:pitch w:val="default"/>
    <w:sig w:usb0="00000001" w:usb1="080E0000" w:usb2="00000000" w:usb3="00000000" w:csb0="00040000" w:csb1="00000000"/>
  </w:font>
  <w:font w:name="方正小标宋简体">
    <w:panose1 w:val="03000509000000000000"/>
    <w:charset w:val="52"/>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-66675</wp:posOffset>
              </wp:positionV>
              <wp:extent cx="829310" cy="201295"/>
              <wp:effectExtent l="0" t="0" r="0" b="0"/>
              <wp:wrapNone/>
              <wp:docPr id="6" name="文本框 5"/>
              <wp:cNvGraphicFramePr/>
              <a:graphic xmlns:a="http://schemas.openxmlformats.org/drawingml/2006/main">
                <a:graphicData uri="http://schemas.microsoft.com/office/word/2010/wordprocessingShape">
                  <wps:wsp>
                    <wps:cNvSpPr txBox="1"/>
                    <wps:spPr>
                      <a:xfrm>
                        <a:off x="0" y="0"/>
                        <a:ext cx="829310" cy="201295"/>
                      </a:xfrm>
                      <a:prstGeom prst="rect">
                        <a:avLst/>
                      </a:prstGeom>
                      <a:noFill/>
                      <a:ln>
                        <a:noFill/>
                      </a:ln>
                      <a:effectLst/>
                    </wps:spPr>
                    <wps:txbx>
                      <w:txbxContent>
                        <w:p>
                          <w:pPr>
                            <w:snapToGrid w:val="0"/>
                            <w:rPr>
                              <w:rFonts w:hint="eastAsia" w:eastAsia="宋体"/>
                              <w:sz w:val="18"/>
                              <w:lang w:eastAsia="zh-CN"/>
                            </w:rPr>
                          </w:pPr>
                          <w:r>
                            <w:rPr>
                              <w:rFonts w:hint="eastAsia"/>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  \* MERGEFORMAT </w:instrText>
                          </w:r>
                          <w:r>
                            <w:rPr>
                              <w:rFonts w:hint="eastAsia" w:ascii="宋体" w:hAnsi="宋体" w:eastAsia="宋体" w:cs="宋体"/>
                              <w:b w:val="0"/>
                              <w:bCs w:val="0"/>
                              <w:sz w:val="28"/>
                              <w:szCs w:val="28"/>
                              <w:lang w:eastAsia="zh-CN"/>
                            </w:rPr>
                            <w:fldChar w:fldCharType="separate"/>
                          </w:r>
                          <w:r>
                            <w:t>1</w:t>
                          </w:r>
                          <w:r>
                            <w:rPr>
                              <w:rFonts w:hint="eastAsia" w:ascii="宋体" w:hAnsi="宋体" w:eastAsia="宋体" w:cs="宋体"/>
                              <w:b w:val="0"/>
                              <w:bCs w:val="0"/>
                              <w:sz w:val="28"/>
                              <w:szCs w:val="28"/>
                              <w:lang w:eastAsia="zh-CN"/>
                            </w:rPr>
                            <w:fldChar w:fldCharType="end"/>
                          </w:r>
                          <w:r>
                            <w:rPr>
                              <w:rFonts w:hint="eastAsia" w:ascii="宋体" w:hAnsi="宋体" w:eastAsia="宋体" w:cs="宋体"/>
                              <w:b w:val="0"/>
                              <w:bCs w:val="0"/>
                              <w:sz w:val="28"/>
                              <w:szCs w:val="28"/>
                              <w:lang w:val="en-US" w:eastAsia="zh-CN"/>
                            </w:rPr>
                            <w:t xml:space="preserve"> —</w:t>
                          </w:r>
                          <w:r>
                            <w:rPr>
                              <w:rFonts w:hint="eastAsia"/>
                              <w:sz w:val="28"/>
                              <w:szCs w:val="28"/>
                              <w:lang w:val="en-US" w:eastAsia="zh-CN"/>
                            </w:rPr>
                            <w:t xml:space="preserve"> </w:t>
                          </w:r>
                        </w:p>
                      </w:txbxContent>
                    </wps:txbx>
                    <wps:bodyPr vert="horz" wrap="square" lIns="0" tIns="0" rIns="0" bIns="0" anchor="t" anchorCtr="0" upright="0"/>
                  </wps:wsp>
                </a:graphicData>
              </a:graphic>
            </wp:anchor>
          </w:drawing>
        </mc:Choice>
        <mc:Fallback>
          <w:pict>
            <v:shape id="文本框 5" o:spid="_x0000_s1026" o:spt="202" type="#_x0000_t202" style="position:absolute;left:0pt;margin-top:-5.25pt;height:15.85pt;width:65.3pt;mso-position-horizontal:outside;mso-position-horizontal-relative:margin;z-index:251659264;mso-width-relative:page;mso-height-relative:page;" filled="f" stroked="f" coordsize="21600,21600" o:gfxdata="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QCCKtYAAAAHAQAADwAAAAAAAAABACAAAAAiAAAAZHJzL2Rvd25yZXYueG1s&#10;UEsBAhQAFAAAAAgAh07iQLs4f+bBAQAAZAMAAA4AAAAAAAAAAQAgAAAAJQEAAGRycy9lMm9Eb2Mu&#10;eG1sUEsFBgAAAAAGAAYAWQEAAFgFAAAAAA==&#10;">
              <v:fill on="f" focussize="0,0"/>
              <v:stroke on="f"/>
              <v:imagedata o:title=""/>
              <o:lock v:ext="edit" aspectratio="f"/>
              <v:textbox inset="0mm,0mm,0mm,0mm">
                <w:txbxContent>
                  <w:p>
                    <w:pPr>
                      <w:snapToGrid w:val="0"/>
                      <w:rPr>
                        <w:rFonts w:hint="eastAsia" w:eastAsia="宋体"/>
                        <w:sz w:val="18"/>
                        <w:lang w:eastAsia="zh-CN"/>
                      </w:rPr>
                    </w:pPr>
                    <w:r>
                      <w:rPr>
                        <w:rFonts w:hint="eastAsia"/>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  \* MERGEFORMAT </w:instrText>
                    </w:r>
                    <w:r>
                      <w:rPr>
                        <w:rFonts w:hint="eastAsia" w:ascii="宋体" w:hAnsi="宋体" w:eastAsia="宋体" w:cs="宋体"/>
                        <w:b w:val="0"/>
                        <w:bCs w:val="0"/>
                        <w:sz w:val="28"/>
                        <w:szCs w:val="28"/>
                        <w:lang w:eastAsia="zh-CN"/>
                      </w:rPr>
                      <w:fldChar w:fldCharType="separate"/>
                    </w:r>
                    <w:r>
                      <w:t>1</w:t>
                    </w:r>
                    <w:r>
                      <w:rPr>
                        <w:rFonts w:hint="eastAsia" w:ascii="宋体" w:hAnsi="宋体" w:eastAsia="宋体" w:cs="宋体"/>
                        <w:b w:val="0"/>
                        <w:bCs w:val="0"/>
                        <w:sz w:val="28"/>
                        <w:szCs w:val="28"/>
                        <w:lang w:eastAsia="zh-CN"/>
                      </w:rPr>
                      <w:fldChar w:fldCharType="end"/>
                    </w:r>
                    <w:r>
                      <w:rPr>
                        <w:rFonts w:hint="eastAsia" w:ascii="宋体" w:hAnsi="宋体" w:eastAsia="宋体" w:cs="宋体"/>
                        <w:b w:val="0"/>
                        <w:bCs w:val="0"/>
                        <w:sz w:val="28"/>
                        <w:szCs w:val="28"/>
                        <w:lang w:val="en-US" w:eastAsia="zh-CN"/>
                      </w:rPr>
                      <w:t xml:space="preserve"> —</w:t>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635</wp:posOffset>
              </wp:positionH>
              <wp:positionV relativeFrom="paragraph">
                <wp:posOffset>-67310</wp:posOffset>
              </wp:positionV>
              <wp:extent cx="851535" cy="222885"/>
              <wp:effectExtent l="0" t="0" r="0" b="0"/>
              <wp:wrapNone/>
              <wp:docPr id="7" name="文本框 6"/>
              <wp:cNvGraphicFramePr/>
              <a:graphic xmlns:a="http://schemas.openxmlformats.org/drawingml/2006/main">
                <a:graphicData uri="http://schemas.microsoft.com/office/word/2010/wordprocessingShape">
                  <wps:wsp>
                    <wps:cNvSpPr txBox="1"/>
                    <wps:spPr>
                      <a:xfrm>
                        <a:off x="0" y="0"/>
                        <a:ext cx="851535" cy="222885"/>
                      </a:xfrm>
                      <a:prstGeom prst="rect">
                        <a:avLst/>
                      </a:prstGeom>
                      <a:noFill/>
                      <a:ln>
                        <a:noFill/>
                      </a:ln>
                      <a:effectLst/>
                    </wps:spPr>
                    <wps:txbx>
                      <w:txbxContent>
                        <w:p>
                          <w:pPr>
                            <w:snapToGrid w:val="0"/>
                            <w:rPr>
                              <w:rFonts w:hint="eastAsia" w:eastAsia="宋体"/>
                              <w:sz w:val="28"/>
                              <w:szCs w:val="28"/>
                              <w:lang w:eastAsia="zh-CN"/>
                            </w:rPr>
                          </w:pPr>
                          <w:r>
                            <w:rPr>
                              <w:rFonts w:hint="eastAsia"/>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sz w:val="28"/>
                              <w:szCs w:val="28"/>
                              <w:lang w:val="en-US" w:eastAsia="zh-CN"/>
                            </w:rPr>
                            <w:t xml:space="preserve"> </w:t>
                          </w:r>
                        </w:p>
                      </w:txbxContent>
                    </wps:txbx>
                    <wps:bodyPr vert="horz" wrap="square" lIns="0" tIns="0" rIns="0" bIns="0" anchor="t" anchorCtr="0" upright="0"/>
                  </wps:wsp>
                </a:graphicData>
              </a:graphic>
            </wp:anchor>
          </w:drawing>
        </mc:Choice>
        <mc:Fallback>
          <w:pict>
            <v:shape id="文本框 6" o:spid="_x0000_s1026" o:spt="202" type="#_x0000_t202" style="position:absolute;left:0pt;margin-left:0.05pt;margin-top:-5.3pt;height:17.55pt;width:67.05pt;mso-position-horizontal-relative:margin;z-index:251660288;mso-width-relative:page;mso-height-relative:page;" filled="f" stroked="f" coordsize="21600,21600" o:gfxdata="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il9br1QAAAAcBAAAPAAAAAAAAAAEAIAAAACIAAABkcnMvZG93bnJldi54bWxQ&#10;SwECFAAUAAAACACHTuJAdY0losEBAABkAwAADgAAAAAAAAABACAAAAAkAQAAZHJzL2Uyb0RvYy54&#10;bWxQSwUGAAAAAAYABgBZAQAAVwUAAAAA&#10;">
              <v:fill on="f" focussize="0,0"/>
              <v:stroke on="f"/>
              <v:imagedata o:title=""/>
              <o:lock v:ext="edit" aspectratio="f"/>
              <v:textbox inset="0mm,0mm,0mm,0mm">
                <w:txbxContent>
                  <w:p>
                    <w:pPr>
                      <w:snapToGrid w:val="0"/>
                      <w:rPr>
                        <w:rFonts w:hint="eastAsia" w:eastAsia="宋体"/>
                        <w:sz w:val="28"/>
                        <w:szCs w:val="28"/>
                        <w:lang w:eastAsia="zh-CN"/>
                      </w:rPr>
                    </w:pPr>
                    <w:r>
                      <w:rPr>
                        <w:rFonts w:hint="eastAsia"/>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OTYyM2ZmM2JkNzUyNGU1MWFkOTg1NDBiZjYwYTgifQ=="/>
  </w:docVars>
  <w:rsids>
    <w:rsidRoot w:val="00857CF2"/>
    <w:rsid w:val="00017C21"/>
    <w:rsid w:val="000211F3"/>
    <w:rsid w:val="000461F2"/>
    <w:rsid w:val="000679F1"/>
    <w:rsid w:val="000746EF"/>
    <w:rsid w:val="00080080"/>
    <w:rsid w:val="000A17A6"/>
    <w:rsid w:val="000A63F4"/>
    <w:rsid w:val="000D2D45"/>
    <w:rsid w:val="000D7F24"/>
    <w:rsid w:val="000E18CF"/>
    <w:rsid w:val="000F1B17"/>
    <w:rsid w:val="000F28BD"/>
    <w:rsid w:val="000F3CF0"/>
    <w:rsid w:val="001032D1"/>
    <w:rsid w:val="00106AD8"/>
    <w:rsid w:val="001164D1"/>
    <w:rsid w:val="001246EE"/>
    <w:rsid w:val="00131F33"/>
    <w:rsid w:val="001376DA"/>
    <w:rsid w:val="00137E9F"/>
    <w:rsid w:val="001402F2"/>
    <w:rsid w:val="00142595"/>
    <w:rsid w:val="00145921"/>
    <w:rsid w:val="00145BC1"/>
    <w:rsid w:val="001523C9"/>
    <w:rsid w:val="00160435"/>
    <w:rsid w:val="00164789"/>
    <w:rsid w:val="001648A0"/>
    <w:rsid w:val="001670DC"/>
    <w:rsid w:val="00195066"/>
    <w:rsid w:val="001A0A04"/>
    <w:rsid w:val="001C281C"/>
    <w:rsid w:val="001C778E"/>
    <w:rsid w:val="001D7686"/>
    <w:rsid w:val="001E14E8"/>
    <w:rsid w:val="001E2A02"/>
    <w:rsid w:val="00202C70"/>
    <w:rsid w:val="00212708"/>
    <w:rsid w:val="0024231A"/>
    <w:rsid w:val="00244E42"/>
    <w:rsid w:val="00255133"/>
    <w:rsid w:val="00255E8B"/>
    <w:rsid w:val="00263252"/>
    <w:rsid w:val="002706CE"/>
    <w:rsid w:val="00292BD7"/>
    <w:rsid w:val="002A26E3"/>
    <w:rsid w:val="002B35C4"/>
    <w:rsid w:val="002C7CF4"/>
    <w:rsid w:val="0030193E"/>
    <w:rsid w:val="003060C5"/>
    <w:rsid w:val="00312803"/>
    <w:rsid w:val="003327EC"/>
    <w:rsid w:val="0033426F"/>
    <w:rsid w:val="003531B8"/>
    <w:rsid w:val="0035689E"/>
    <w:rsid w:val="00363B8D"/>
    <w:rsid w:val="003B03EA"/>
    <w:rsid w:val="003B093E"/>
    <w:rsid w:val="003B2835"/>
    <w:rsid w:val="003B6DD0"/>
    <w:rsid w:val="003C1288"/>
    <w:rsid w:val="003F4391"/>
    <w:rsid w:val="003F6C0A"/>
    <w:rsid w:val="003F793A"/>
    <w:rsid w:val="00403AED"/>
    <w:rsid w:val="00404678"/>
    <w:rsid w:val="00404CBC"/>
    <w:rsid w:val="004226EB"/>
    <w:rsid w:val="00444861"/>
    <w:rsid w:val="00454198"/>
    <w:rsid w:val="00462002"/>
    <w:rsid w:val="004624D4"/>
    <w:rsid w:val="00473FC4"/>
    <w:rsid w:val="00480572"/>
    <w:rsid w:val="00491CB3"/>
    <w:rsid w:val="00493AEB"/>
    <w:rsid w:val="004A48B5"/>
    <w:rsid w:val="004A6184"/>
    <w:rsid w:val="004B3827"/>
    <w:rsid w:val="004E6BAE"/>
    <w:rsid w:val="00504360"/>
    <w:rsid w:val="005077DA"/>
    <w:rsid w:val="00507804"/>
    <w:rsid w:val="005271C8"/>
    <w:rsid w:val="00540316"/>
    <w:rsid w:val="00544CD4"/>
    <w:rsid w:val="00552480"/>
    <w:rsid w:val="00564ED6"/>
    <w:rsid w:val="00566CFC"/>
    <w:rsid w:val="005707A2"/>
    <w:rsid w:val="00574DE5"/>
    <w:rsid w:val="005838C4"/>
    <w:rsid w:val="00583C5A"/>
    <w:rsid w:val="005A493A"/>
    <w:rsid w:val="005B5AE0"/>
    <w:rsid w:val="005D49B3"/>
    <w:rsid w:val="005D4B71"/>
    <w:rsid w:val="005E21DA"/>
    <w:rsid w:val="005E44B0"/>
    <w:rsid w:val="005F4B6C"/>
    <w:rsid w:val="00600864"/>
    <w:rsid w:val="006053F4"/>
    <w:rsid w:val="00624226"/>
    <w:rsid w:val="006255A2"/>
    <w:rsid w:val="00634DCA"/>
    <w:rsid w:val="00646ECF"/>
    <w:rsid w:val="0066584C"/>
    <w:rsid w:val="00673C09"/>
    <w:rsid w:val="006A1B0A"/>
    <w:rsid w:val="006B1A13"/>
    <w:rsid w:val="006C453C"/>
    <w:rsid w:val="006C78CC"/>
    <w:rsid w:val="006D5CAA"/>
    <w:rsid w:val="006D7E4A"/>
    <w:rsid w:val="006E0830"/>
    <w:rsid w:val="006F2367"/>
    <w:rsid w:val="00717F03"/>
    <w:rsid w:val="00724CB6"/>
    <w:rsid w:val="00734C1D"/>
    <w:rsid w:val="007373BE"/>
    <w:rsid w:val="007377FD"/>
    <w:rsid w:val="0074061D"/>
    <w:rsid w:val="007463D8"/>
    <w:rsid w:val="00750D1D"/>
    <w:rsid w:val="00757485"/>
    <w:rsid w:val="00757F6D"/>
    <w:rsid w:val="00761D0F"/>
    <w:rsid w:val="00766599"/>
    <w:rsid w:val="00770F52"/>
    <w:rsid w:val="00772580"/>
    <w:rsid w:val="00797A5E"/>
    <w:rsid w:val="007A0DBB"/>
    <w:rsid w:val="007A187F"/>
    <w:rsid w:val="007A3BDF"/>
    <w:rsid w:val="007D0733"/>
    <w:rsid w:val="007F2039"/>
    <w:rsid w:val="007F2AC2"/>
    <w:rsid w:val="007F46C9"/>
    <w:rsid w:val="007F5F6C"/>
    <w:rsid w:val="008049FD"/>
    <w:rsid w:val="00804AC4"/>
    <w:rsid w:val="0080741A"/>
    <w:rsid w:val="00815C29"/>
    <w:rsid w:val="0082101D"/>
    <w:rsid w:val="00821748"/>
    <w:rsid w:val="00826E51"/>
    <w:rsid w:val="008565B8"/>
    <w:rsid w:val="00857CF2"/>
    <w:rsid w:val="008662D5"/>
    <w:rsid w:val="0086754A"/>
    <w:rsid w:val="008D34E3"/>
    <w:rsid w:val="008D6B31"/>
    <w:rsid w:val="008D6FA6"/>
    <w:rsid w:val="008E3CAA"/>
    <w:rsid w:val="008F4778"/>
    <w:rsid w:val="0092067D"/>
    <w:rsid w:val="0092102A"/>
    <w:rsid w:val="00921376"/>
    <w:rsid w:val="00923E56"/>
    <w:rsid w:val="00925F17"/>
    <w:rsid w:val="0093707C"/>
    <w:rsid w:val="0094186E"/>
    <w:rsid w:val="009435D1"/>
    <w:rsid w:val="00960254"/>
    <w:rsid w:val="00964430"/>
    <w:rsid w:val="00964F26"/>
    <w:rsid w:val="00966DA4"/>
    <w:rsid w:val="00975050"/>
    <w:rsid w:val="00975A53"/>
    <w:rsid w:val="00980CDB"/>
    <w:rsid w:val="00981AD9"/>
    <w:rsid w:val="0098342B"/>
    <w:rsid w:val="00983BC1"/>
    <w:rsid w:val="009859E7"/>
    <w:rsid w:val="00986ED7"/>
    <w:rsid w:val="009C2025"/>
    <w:rsid w:val="009C4A50"/>
    <w:rsid w:val="009F1035"/>
    <w:rsid w:val="009F29EC"/>
    <w:rsid w:val="00A0451A"/>
    <w:rsid w:val="00A107D5"/>
    <w:rsid w:val="00A32CF6"/>
    <w:rsid w:val="00A40325"/>
    <w:rsid w:val="00A40BBE"/>
    <w:rsid w:val="00A540FB"/>
    <w:rsid w:val="00A5417E"/>
    <w:rsid w:val="00A55F61"/>
    <w:rsid w:val="00A65907"/>
    <w:rsid w:val="00A74E7C"/>
    <w:rsid w:val="00A90792"/>
    <w:rsid w:val="00A96248"/>
    <w:rsid w:val="00AA0D20"/>
    <w:rsid w:val="00AA2AB4"/>
    <w:rsid w:val="00AB241C"/>
    <w:rsid w:val="00AC05C5"/>
    <w:rsid w:val="00AC46A5"/>
    <w:rsid w:val="00AC4A6F"/>
    <w:rsid w:val="00AC6456"/>
    <w:rsid w:val="00AD2542"/>
    <w:rsid w:val="00AD3994"/>
    <w:rsid w:val="00AD41FB"/>
    <w:rsid w:val="00AE16A2"/>
    <w:rsid w:val="00AE50A0"/>
    <w:rsid w:val="00B027C4"/>
    <w:rsid w:val="00B13E7C"/>
    <w:rsid w:val="00B1512E"/>
    <w:rsid w:val="00B22842"/>
    <w:rsid w:val="00B25584"/>
    <w:rsid w:val="00B4280E"/>
    <w:rsid w:val="00B50576"/>
    <w:rsid w:val="00B520D1"/>
    <w:rsid w:val="00B71095"/>
    <w:rsid w:val="00B74263"/>
    <w:rsid w:val="00B85439"/>
    <w:rsid w:val="00B915E4"/>
    <w:rsid w:val="00BA2940"/>
    <w:rsid w:val="00BB35D8"/>
    <w:rsid w:val="00BB3BD7"/>
    <w:rsid w:val="00BB3D0A"/>
    <w:rsid w:val="00BB4028"/>
    <w:rsid w:val="00BC1CF7"/>
    <w:rsid w:val="00BD2FB5"/>
    <w:rsid w:val="00BE2DC7"/>
    <w:rsid w:val="00C03671"/>
    <w:rsid w:val="00C04055"/>
    <w:rsid w:val="00C22775"/>
    <w:rsid w:val="00C32A29"/>
    <w:rsid w:val="00C406CA"/>
    <w:rsid w:val="00C46E19"/>
    <w:rsid w:val="00C53F26"/>
    <w:rsid w:val="00C76B41"/>
    <w:rsid w:val="00C81614"/>
    <w:rsid w:val="00CA2B61"/>
    <w:rsid w:val="00CB1054"/>
    <w:rsid w:val="00CB19F8"/>
    <w:rsid w:val="00CB37F9"/>
    <w:rsid w:val="00CB3FD9"/>
    <w:rsid w:val="00CC3D18"/>
    <w:rsid w:val="00CC4A53"/>
    <w:rsid w:val="00CD15F6"/>
    <w:rsid w:val="00CE2CF7"/>
    <w:rsid w:val="00D0088A"/>
    <w:rsid w:val="00D14E3F"/>
    <w:rsid w:val="00D16F15"/>
    <w:rsid w:val="00D31A48"/>
    <w:rsid w:val="00D32ABB"/>
    <w:rsid w:val="00D359B8"/>
    <w:rsid w:val="00D41EFF"/>
    <w:rsid w:val="00D43A72"/>
    <w:rsid w:val="00D4466B"/>
    <w:rsid w:val="00D639C1"/>
    <w:rsid w:val="00D77A05"/>
    <w:rsid w:val="00D92496"/>
    <w:rsid w:val="00DA32C2"/>
    <w:rsid w:val="00DB57FF"/>
    <w:rsid w:val="00DD13B8"/>
    <w:rsid w:val="00DD3A8D"/>
    <w:rsid w:val="00DD5AAF"/>
    <w:rsid w:val="00DE2A95"/>
    <w:rsid w:val="00DE4936"/>
    <w:rsid w:val="00DF258C"/>
    <w:rsid w:val="00E119FA"/>
    <w:rsid w:val="00E4121A"/>
    <w:rsid w:val="00E41E5C"/>
    <w:rsid w:val="00E437E3"/>
    <w:rsid w:val="00E60AB5"/>
    <w:rsid w:val="00E718BE"/>
    <w:rsid w:val="00E7694B"/>
    <w:rsid w:val="00E777EF"/>
    <w:rsid w:val="00E8309B"/>
    <w:rsid w:val="00E8592D"/>
    <w:rsid w:val="00E950D7"/>
    <w:rsid w:val="00E978E4"/>
    <w:rsid w:val="00EA42FF"/>
    <w:rsid w:val="00EB007F"/>
    <w:rsid w:val="00EB4B7B"/>
    <w:rsid w:val="00EC070B"/>
    <w:rsid w:val="00EC1441"/>
    <w:rsid w:val="00EC3253"/>
    <w:rsid w:val="00EC3E47"/>
    <w:rsid w:val="00EC78B5"/>
    <w:rsid w:val="00ED759E"/>
    <w:rsid w:val="00ED7690"/>
    <w:rsid w:val="00EE44AA"/>
    <w:rsid w:val="00EF424F"/>
    <w:rsid w:val="00EF5121"/>
    <w:rsid w:val="00F05884"/>
    <w:rsid w:val="00F12932"/>
    <w:rsid w:val="00F17B33"/>
    <w:rsid w:val="00F300B2"/>
    <w:rsid w:val="00F60425"/>
    <w:rsid w:val="00F84DCC"/>
    <w:rsid w:val="00F85DAA"/>
    <w:rsid w:val="00F90736"/>
    <w:rsid w:val="00F96B4E"/>
    <w:rsid w:val="00FB0C4B"/>
    <w:rsid w:val="00FB0E43"/>
    <w:rsid w:val="00FC646B"/>
    <w:rsid w:val="00FE5AED"/>
    <w:rsid w:val="00FE71FE"/>
    <w:rsid w:val="00FF1B9A"/>
    <w:rsid w:val="01381AF4"/>
    <w:rsid w:val="01C51FE4"/>
    <w:rsid w:val="0216396E"/>
    <w:rsid w:val="024477C9"/>
    <w:rsid w:val="02722BA5"/>
    <w:rsid w:val="032443CD"/>
    <w:rsid w:val="03F90D32"/>
    <w:rsid w:val="042C2C6A"/>
    <w:rsid w:val="05171DF8"/>
    <w:rsid w:val="052F141B"/>
    <w:rsid w:val="0595624C"/>
    <w:rsid w:val="059D393C"/>
    <w:rsid w:val="06030EE3"/>
    <w:rsid w:val="062C7C3F"/>
    <w:rsid w:val="06625182"/>
    <w:rsid w:val="06E07B38"/>
    <w:rsid w:val="07276232"/>
    <w:rsid w:val="0780241B"/>
    <w:rsid w:val="078715FD"/>
    <w:rsid w:val="07B17773"/>
    <w:rsid w:val="07F9DE92"/>
    <w:rsid w:val="08630756"/>
    <w:rsid w:val="08895909"/>
    <w:rsid w:val="08D87413"/>
    <w:rsid w:val="092A1DB3"/>
    <w:rsid w:val="092B3FBF"/>
    <w:rsid w:val="0A451F66"/>
    <w:rsid w:val="0B992885"/>
    <w:rsid w:val="0D4903E8"/>
    <w:rsid w:val="0DF93BBD"/>
    <w:rsid w:val="0E511A32"/>
    <w:rsid w:val="0E53691E"/>
    <w:rsid w:val="0EF77A26"/>
    <w:rsid w:val="10F23997"/>
    <w:rsid w:val="10F5707C"/>
    <w:rsid w:val="114A3D67"/>
    <w:rsid w:val="11F538B9"/>
    <w:rsid w:val="1224431B"/>
    <w:rsid w:val="125F2A00"/>
    <w:rsid w:val="13D54396"/>
    <w:rsid w:val="13F11AED"/>
    <w:rsid w:val="14466190"/>
    <w:rsid w:val="149C76FC"/>
    <w:rsid w:val="15AE11BA"/>
    <w:rsid w:val="15F823CB"/>
    <w:rsid w:val="163A3C56"/>
    <w:rsid w:val="166626C1"/>
    <w:rsid w:val="16B21B9E"/>
    <w:rsid w:val="16FE34CD"/>
    <w:rsid w:val="171D097B"/>
    <w:rsid w:val="17D0261A"/>
    <w:rsid w:val="18220617"/>
    <w:rsid w:val="184B12A9"/>
    <w:rsid w:val="18B84674"/>
    <w:rsid w:val="19502AFF"/>
    <w:rsid w:val="198E4775"/>
    <w:rsid w:val="1A0A7050"/>
    <w:rsid w:val="1A656410"/>
    <w:rsid w:val="1A670656"/>
    <w:rsid w:val="1AAB7A25"/>
    <w:rsid w:val="1B0A6FB2"/>
    <w:rsid w:val="1BA57D76"/>
    <w:rsid w:val="1BB61672"/>
    <w:rsid w:val="1C1356B1"/>
    <w:rsid w:val="1C223F6E"/>
    <w:rsid w:val="1C887600"/>
    <w:rsid w:val="1DA6252D"/>
    <w:rsid w:val="1DDE67C1"/>
    <w:rsid w:val="1E7756E5"/>
    <w:rsid w:val="1EAB23C4"/>
    <w:rsid w:val="1FA8029B"/>
    <w:rsid w:val="20267218"/>
    <w:rsid w:val="202E63DC"/>
    <w:rsid w:val="209A6308"/>
    <w:rsid w:val="20CC6FAB"/>
    <w:rsid w:val="211527B5"/>
    <w:rsid w:val="21517A14"/>
    <w:rsid w:val="21674761"/>
    <w:rsid w:val="21736EDE"/>
    <w:rsid w:val="21A17D67"/>
    <w:rsid w:val="21FB3F4F"/>
    <w:rsid w:val="22287F5D"/>
    <w:rsid w:val="22AD24F0"/>
    <w:rsid w:val="22B8599C"/>
    <w:rsid w:val="22CF07A8"/>
    <w:rsid w:val="234D00FD"/>
    <w:rsid w:val="23D1083F"/>
    <w:rsid w:val="23E55FD0"/>
    <w:rsid w:val="2416004C"/>
    <w:rsid w:val="24F915F2"/>
    <w:rsid w:val="25E74A15"/>
    <w:rsid w:val="26077D71"/>
    <w:rsid w:val="265B148A"/>
    <w:rsid w:val="26A14847"/>
    <w:rsid w:val="277C3ABD"/>
    <w:rsid w:val="27925639"/>
    <w:rsid w:val="2803466B"/>
    <w:rsid w:val="28C34829"/>
    <w:rsid w:val="29011B4D"/>
    <w:rsid w:val="2A043BF1"/>
    <w:rsid w:val="2A226172"/>
    <w:rsid w:val="2A522829"/>
    <w:rsid w:val="2A5D507B"/>
    <w:rsid w:val="2ADC4A9D"/>
    <w:rsid w:val="2AF4778E"/>
    <w:rsid w:val="2B7845AF"/>
    <w:rsid w:val="2B8829FC"/>
    <w:rsid w:val="2B956357"/>
    <w:rsid w:val="2DB77055"/>
    <w:rsid w:val="2DE26FB3"/>
    <w:rsid w:val="2DE55F39"/>
    <w:rsid w:val="2E942D20"/>
    <w:rsid w:val="2F454C77"/>
    <w:rsid w:val="30CE760D"/>
    <w:rsid w:val="30E82645"/>
    <w:rsid w:val="31586D50"/>
    <w:rsid w:val="31B758BA"/>
    <w:rsid w:val="31D21266"/>
    <w:rsid w:val="32783F19"/>
    <w:rsid w:val="32995CF1"/>
    <w:rsid w:val="32A6405E"/>
    <w:rsid w:val="32A705CD"/>
    <w:rsid w:val="336278A3"/>
    <w:rsid w:val="34056DE9"/>
    <w:rsid w:val="34654335"/>
    <w:rsid w:val="34DB70CF"/>
    <w:rsid w:val="3552387E"/>
    <w:rsid w:val="358024D4"/>
    <w:rsid w:val="361C757E"/>
    <w:rsid w:val="368A2987"/>
    <w:rsid w:val="36B25A48"/>
    <w:rsid w:val="36B545EF"/>
    <w:rsid w:val="3751174E"/>
    <w:rsid w:val="37572EC0"/>
    <w:rsid w:val="392C148C"/>
    <w:rsid w:val="396205A6"/>
    <w:rsid w:val="39875C71"/>
    <w:rsid w:val="39B65B77"/>
    <w:rsid w:val="3A5C0EAC"/>
    <w:rsid w:val="3A6E739F"/>
    <w:rsid w:val="3B6405FB"/>
    <w:rsid w:val="3B6D0C2D"/>
    <w:rsid w:val="3BBCE95E"/>
    <w:rsid w:val="3BF13876"/>
    <w:rsid w:val="3BFDC299"/>
    <w:rsid w:val="3C0A0ADE"/>
    <w:rsid w:val="3C560D5B"/>
    <w:rsid w:val="3CA71187"/>
    <w:rsid w:val="3DAA3C2F"/>
    <w:rsid w:val="3E404BC1"/>
    <w:rsid w:val="3EA373E6"/>
    <w:rsid w:val="3ECB3DC3"/>
    <w:rsid w:val="3F2150E3"/>
    <w:rsid w:val="3F87214D"/>
    <w:rsid w:val="3FD23FBA"/>
    <w:rsid w:val="40980F08"/>
    <w:rsid w:val="40AA4533"/>
    <w:rsid w:val="40B32184"/>
    <w:rsid w:val="40E77100"/>
    <w:rsid w:val="411F2325"/>
    <w:rsid w:val="420E5EC6"/>
    <w:rsid w:val="421538F8"/>
    <w:rsid w:val="42DA60ED"/>
    <w:rsid w:val="42E06616"/>
    <w:rsid w:val="43104E14"/>
    <w:rsid w:val="437071C1"/>
    <w:rsid w:val="438356FB"/>
    <w:rsid w:val="442E40F1"/>
    <w:rsid w:val="445B7C2F"/>
    <w:rsid w:val="44871725"/>
    <w:rsid w:val="452523E2"/>
    <w:rsid w:val="46CD6E04"/>
    <w:rsid w:val="46D23A8C"/>
    <w:rsid w:val="470867EB"/>
    <w:rsid w:val="47E01BBD"/>
    <w:rsid w:val="47E5312D"/>
    <w:rsid w:val="48E4232F"/>
    <w:rsid w:val="49A4641B"/>
    <w:rsid w:val="4A0823C8"/>
    <w:rsid w:val="4B09617F"/>
    <w:rsid w:val="4B991FDC"/>
    <w:rsid w:val="4B9B7D35"/>
    <w:rsid w:val="4BB90A69"/>
    <w:rsid w:val="4BBD05A7"/>
    <w:rsid w:val="4C71202C"/>
    <w:rsid w:val="4C7810EA"/>
    <w:rsid w:val="4C9D15DC"/>
    <w:rsid w:val="4CA62AE6"/>
    <w:rsid w:val="4CD53574"/>
    <w:rsid w:val="4D4B5DF8"/>
    <w:rsid w:val="4D8F3F46"/>
    <w:rsid w:val="4D96662F"/>
    <w:rsid w:val="4E23640C"/>
    <w:rsid w:val="4F156F60"/>
    <w:rsid w:val="4FBF0E8E"/>
    <w:rsid w:val="503F6FB4"/>
    <w:rsid w:val="50E8442B"/>
    <w:rsid w:val="51114C78"/>
    <w:rsid w:val="512E4E2E"/>
    <w:rsid w:val="5154612C"/>
    <w:rsid w:val="518D7426"/>
    <w:rsid w:val="51A327B7"/>
    <w:rsid w:val="51B57F8B"/>
    <w:rsid w:val="51C71C1F"/>
    <w:rsid w:val="51D7245A"/>
    <w:rsid w:val="51E63B27"/>
    <w:rsid w:val="528B6364"/>
    <w:rsid w:val="52E639D0"/>
    <w:rsid w:val="53043434"/>
    <w:rsid w:val="53D077B3"/>
    <w:rsid w:val="54AC3E6C"/>
    <w:rsid w:val="552F2424"/>
    <w:rsid w:val="5588FF42"/>
    <w:rsid w:val="559801FC"/>
    <w:rsid w:val="55BC1562"/>
    <w:rsid w:val="55BF3A75"/>
    <w:rsid w:val="56000EAC"/>
    <w:rsid w:val="566763F0"/>
    <w:rsid w:val="569C475F"/>
    <w:rsid w:val="57C878ED"/>
    <w:rsid w:val="585D52FB"/>
    <w:rsid w:val="590A0A95"/>
    <w:rsid w:val="5A3B0686"/>
    <w:rsid w:val="5A82520F"/>
    <w:rsid w:val="5AE10BEE"/>
    <w:rsid w:val="5BCA6FAD"/>
    <w:rsid w:val="5BCC4E29"/>
    <w:rsid w:val="5C131DA6"/>
    <w:rsid w:val="5CCF2407"/>
    <w:rsid w:val="5D232127"/>
    <w:rsid w:val="5D490847"/>
    <w:rsid w:val="5D5A0EDC"/>
    <w:rsid w:val="5DF241B7"/>
    <w:rsid w:val="5E997D8F"/>
    <w:rsid w:val="5F7FC1DA"/>
    <w:rsid w:val="5FC57711"/>
    <w:rsid w:val="5FEE2F64"/>
    <w:rsid w:val="60234DCB"/>
    <w:rsid w:val="603A28C2"/>
    <w:rsid w:val="611815D3"/>
    <w:rsid w:val="61B54095"/>
    <w:rsid w:val="61DD7C4C"/>
    <w:rsid w:val="63BBCDF4"/>
    <w:rsid w:val="63F31E02"/>
    <w:rsid w:val="65774F5E"/>
    <w:rsid w:val="65E35D20"/>
    <w:rsid w:val="66122CA8"/>
    <w:rsid w:val="699D3B96"/>
    <w:rsid w:val="6B6B150A"/>
    <w:rsid w:val="6BE903A5"/>
    <w:rsid w:val="6BF905B2"/>
    <w:rsid w:val="6C112FF2"/>
    <w:rsid w:val="6C470642"/>
    <w:rsid w:val="6C9D3F10"/>
    <w:rsid w:val="6CD92309"/>
    <w:rsid w:val="6CEC9C98"/>
    <w:rsid w:val="6D0C5126"/>
    <w:rsid w:val="6D2154B9"/>
    <w:rsid w:val="6D904F0F"/>
    <w:rsid w:val="6DFF00E0"/>
    <w:rsid w:val="6E453429"/>
    <w:rsid w:val="6EDA124E"/>
    <w:rsid w:val="6EDF3A2D"/>
    <w:rsid w:val="6F8A4A0A"/>
    <w:rsid w:val="6FBD05BA"/>
    <w:rsid w:val="70835C9D"/>
    <w:rsid w:val="70FACD5E"/>
    <w:rsid w:val="71123C40"/>
    <w:rsid w:val="713759CB"/>
    <w:rsid w:val="716F2C97"/>
    <w:rsid w:val="71AE551B"/>
    <w:rsid w:val="720A39A7"/>
    <w:rsid w:val="72C50203"/>
    <w:rsid w:val="73A34E7A"/>
    <w:rsid w:val="73BC5F41"/>
    <w:rsid w:val="73BFBB51"/>
    <w:rsid w:val="74321C82"/>
    <w:rsid w:val="747674B0"/>
    <w:rsid w:val="749057F9"/>
    <w:rsid w:val="749F56E5"/>
    <w:rsid w:val="74EC5C8D"/>
    <w:rsid w:val="75493F86"/>
    <w:rsid w:val="762B11A7"/>
    <w:rsid w:val="766F51E4"/>
    <w:rsid w:val="76DE441B"/>
    <w:rsid w:val="776B0C74"/>
    <w:rsid w:val="777677C7"/>
    <w:rsid w:val="77CC4359"/>
    <w:rsid w:val="77F25D89"/>
    <w:rsid w:val="79E90175"/>
    <w:rsid w:val="7A106F97"/>
    <w:rsid w:val="7A7AC701"/>
    <w:rsid w:val="7B6F2B92"/>
    <w:rsid w:val="7BBE195E"/>
    <w:rsid w:val="7DCA2E9C"/>
    <w:rsid w:val="7DCB0A8F"/>
    <w:rsid w:val="7DF73D01"/>
    <w:rsid w:val="7E5119A2"/>
    <w:rsid w:val="7E77326E"/>
    <w:rsid w:val="7F5F28FF"/>
    <w:rsid w:val="7FBB5533"/>
    <w:rsid w:val="7FBBCF13"/>
    <w:rsid w:val="7FBFF13D"/>
    <w:rsid w:val="7FF739F5"/>
    <w:rsid w:val="87FF01FE"/>
    <w:rsid w:val="A41EF6BC"/>
    <w:rsid w:val="BFF39FC9"/>
    <w:rsid w:val="DF7EDB58"/>
    <w:rsid w:val="DFBA660D"/>
    <w:rsid w:val="DFC7AB85"/>
    <w:rsid w:val="DFFFDC86"/>
    <w:rsid w:val="E26F39BB"/>
    <w:rsid w:val="EBFD8B77"/>
    <w:rsid w:val="EFF6A605"/>
    <w:rsid w:val="F790B3E1"/>
    <w:rsid w:val="F7CB5636"/>
    <w:rsid w:val="FA7374F8"/>
    <w:rsid w:val="FC75CBEC"/>
    <w:rsid w:val="FDCB50B2"/>
    <w:rsid w:val="FEDFC0AE"/>
    <w:rsid w:val="FEFD0DEB"/>
    <w:rsid w:val="FF3A69EC"/>
    <w:rsid w:val="FF7F8086"/>
    <w:rsid w:val="FFC85927"/>
    <w:rsid w:val="FFFEDC79"/>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4">
    <w:name w:val="heading 3"/>
    <w:basedOn w:val="1"/>
    <w:next w:val="1"/>
    <w:qFormat/>
    <w:uiPriority w:val="0"/>
    <w:pPr>
      <w:keepNext/>
      <w:keepLines/>
      <w:spacing w:before="260" w:after="260" w:line="416" w:lineRule="auto"/>
      <w:outlineLvl w:val="2"/>
    </w:pPr>
    <w:rPr>
      <w:rFonts w:ascii="Calibri" w:hAnsi="Calibri"/>
      <w:b/>
      <w:bCs/>
      <w:sz w:val="32"/>
      <w:szCs w:val="32"/>
    </w:rPr>
  </w:style>
  <w:style w:type="character" w:default="1" w:styleId="18">
    <w:name w:val="Default Paragraph Font"/>
    <w:link w:val="19"/>
    <w:semiHidden/>
    <w:qFormat/>
    <w:uiPriority w:val="0"/>
  </w:style>
  <w:style w:type="table" w:default="1" w:styleId="27">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qFormat/>
    <w:uiPriority w:val="0"/>
    <w:pPr>
      <w:spacing w:line="520" w:lineRule="exact"/>
    </w:pPr>
    <w:rPr>
      <w:rFonts w:ascii="仿宋_GB2312" w:eastAsia="仿宋_GB2312"/>
      <w:b/>
      <w:sz w:val="32"/>
    </w:rPr>
  </w:style>
  <w:style w:type="paragraph" w:styleId="7">
    <w:name w:val="Body Text Indent"/>
    <w:basedOn w:val="1"/>
    <w:next w:val="2"/>
    <w:qFormat/>
    <w:uiPriority w:val="0"/>
    <w:pPr>
      <w:spacing w:line="560" w:lineRule="exact"/>
      <w:ind w:firstLine="640" w:firstLineChars="200"/>
    </w:pPr>
    <w:rPr>
      <w:sz w:val="32"/>
    </w:rPr>
  </w:style>
  <w:style w:type="paragraph" w:styleId="8">
    <w:name w:val="Plain Text"/>
    <w:basedOn w:val="1"/>
    <w:next w:val="1"/>
    <w:qFormat/>
    <w:uiPriority w:val="0"/>
    <w:rPr>
      <w:rFonts w:ascii="宋体" w:hAnsi="Courier New"/>
      <w:szCs w:val="21"/>
    </w:rPr>
  </w:style>
  <w:style w:type="paragraph" w:styleId="9">
    <w:name w:val="Body Text Indent 2"/>
    <w:basedOn w:val="1"/>
    <w:qFormat/>
    <w:uiPriority w:val="0"/>
    <w:pPr>
      <w:spacing w:line="560" w:lineRule="exact"/>
      <w:ind w:firstLine="643" w:firstLineChars="200"/>
    </w:pPr>
    <w:rPr>
      <w:rFonts w:eastAsia="仿宋_GB2312"/>
      <w:b/>
      <w:bCs/>
      <w:sz w:val="32"/>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First Indent 2"/>
    <w:basedOn w:val="7"/>
    <w:qFormat/>
    <w:uiPriority w:val="0"/>
    <w:pPr>
      <w:ind w:firstLine="420" w:firstLineChars="200"/>
    </w:pPr>
    <w:rPr>
      <w:rFonts w:eastAsia="宋体"/>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unhideWhenUsed/>
    <w:qFormat/>
    <w:uiPriority w:val="0"/>
    <w:rPr>
      <w:rFonts w:ascii="等线 Light" w:hAnsi="等线 Light" w:eastAsia="等线 Light" w:cs="Times New Roman"/>
      <w:b/>
      <w:bCs/>
    </w:rPr>
  </w:style>
  <w:style w:type="paragraph" w:styleId="15">
    <w:name w:val="index 1"/>
    <w:basedOn w:val="1"/>
    <w:next w:val="1"/>
    <w:unhideWhenUsed/>
    <w:qFormat/>
    <w:uiPriority w:val="0"/>
  </w:style>
  <w:style w:type="paragraph" w:styleId="16">
    <w:name w:val="Body Text Indent 3"/>
    <w:basedOn w:val="1"/>
    <w:qFormat/>
    <w:uiPriority w:val="0"/>
    <w:pPr>
      <w:ind w:left="645"/>
    </w:pPr>
    <w:rPr>
      <w:rFonts w:ascii="仿宋_GB2312" w:eastAsia="仿宋_GB2312"/>
      <w:sz w:val="32"/>
    </w:rPr>
  </w:style>
  <w:style w:type="paragraph" w:styleId="17">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9">
    <w:name w:val=" Char Char11 Char Char"/>
    <w:basedOn w:val="1"/>
    <w:link w:val="18"/>
    <w:qFormat/>
    <w:uiPriority w:val="0"/>
  </w:style>
  <w:style w:type="character" w:styleId="20">
    <w:name w:val="Strong"/>
    <w:basedOn w:val="18"/>
    <w:qFormat/>
    <w:uiPriority w:val="0"/>
    <w:rPr>
      <w:b/>
      <w:bCs/>
    </w:rPr>
  </w:style>
  <w:style w:type="character" w:styleId="21">
    <w:name w:val="page number"/>
    <w:basedOn w:val="18"/>
    <w:qFormat/>
    <w:uiPriority w:val="0"/>
  </w:style>
  <w:style w:type="character" w:styleId="22">
    <w:name w:val="FollowedHyperlink"/>
    <w:basedOn w:val="18"/>
    <w:qFormat/>
    <w:uiPriority w:val="0"/>
    <w:rPr>
      <w:color w:val="333333"/>
      <w:u w:val="none"/>
    </w:rPr>
  </w:style>
  <w:style w:type="character" w:styleId="23">
    <w:name w:val="Emphasis"/>
    <w:basedOn w:val="18"/>
    <w:qFormat/>
    <w:uiPriority w:val="0"/>
  </w:style>
  <w:style w:type="character" w:styleId="24">
    <w:name w:val="Hyperlink"/>
    <w:basedOn w:val="18"/>
    <w:qFormat/>
    <w:uiPriority w:val="0"/>
    <w:rPr>
      <w:color w:val="333333"/>
      <w:u w:val="none"/>
    </w:rPr>
  </w:style>
  <w:style w:type="character" w:styleId="25">
    <w:name w:val="HTML Code"/>
    <w:basedOn w:val="18"/>
    <w:qFormat/>
    <w:uiPriority w:val="0"/>
    <w:rPr>
      <w:rFonts w:ascii="Monaco" w:hAnsi="Monaco" w:eastAsia="Monaco" w:cs="Monaco"/>
      <w:color w:val="DD1144"/>
      <w:sz w:val="14"/>
      <w:szCs w:val="14"/>
      <w:bdr w:val="single" w:color="E1E1E8" w:sz="4" w:space="0"/>
      <w:shd w:val="clear" w:color="auto" w:fill="F7F7F9"/>
    </w:rPr>
  </w:style>
  <w:style w:type="character" w:styleId="26">
    <w:name w:val="HTML Cite"/>
    <w:basedOn w:val="18"/>
    <w:qFormat/>
    <w:uiPriority w:val="0"/>
  </w:style>
  <w:style w:type="character" w:customStyle="1" w:styleId="28">
    <w:name w:val="jiuc"/>
    <w:basedOn w:val="18"/>
    <w:qFormat/>
    <w:uiPriority w:val="0"/>
  </w:style>
  <w:style w:type="paragraph" w:customStyle="1" w:styleId="29">
    <w:name w:val=" Char1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
    <w:name w:val=" Char"/>
    <w:basedOn w:val="1"/>
    <w:qFormat/>
    <w:uiPriority w:val="0"/>
    <w:rPr>
      <w:szCs w:val="20"/>
    </w:rPr>
  </w:style>
  <w:style w:type="paragraph" w:customStyle="1" w:styleId="31">
    <w:name w:val="列出段落"/>
    <w:basedOn w:val="1"/>
    <w:qFormat/>
    <w:uiPriority w:val="0"/>
    <w:pPr>
      <w:widowControl/>
      <w:ind w:firstLine="420" w:firstLineChars="200"/>
      <w:jc w:val="left"/>
    </w:pPr>
    <w:rPr>
      <w:rFonts w:ascii="宋体" w:hAnsi="宋体" w:cs="宋体"/>
      <w:kern w:val="0"/>
      <w:sz w:val="24"/>
    </w:rPr>
  </w:style>
  <w:style w:type="paragraph" w:customStyle="1" w:styleId="32">
    <w:name w:val="Default"/>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paragraph" w:customStyle="1" w:styleId="33">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asd.ltd.co</Company>
  <Pages>7</Pages>
  <Words>3334</Words>
  <Characters>3381</Characters>
  <Lines>1</Lines>
  <Paragraphs>1</Paragraphs>
  <ScaleCrop>false</ScaleCrop>
  <LinksUpToDate>false</LinksUpToDate>
  <CharactersWithSpaces>3417</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2005-04-20T09:40:00Z</dcterms:created>
  <dc:creator>tzz</dc:creator>
  <cp:lastModifiedBy>Administrator</cp:lastModifiedBy>
  <cp:lastPrinted>2025-05-30T00:52:00Z</cp:lastPrinted>
  <dcterms:modified xsi:type="dcterms:W3CDTF">2025-07-18T07:22:37Z</dcterms:modified>
  <dc:title>关于认真做好当前经济工作的通知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EC5E039013EC4BBD83E48CE7DF20F56A_13</vt:lpwstr>
  </property>
</Properties>
</file>