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B76807">
      <w:pPr>
        <w:pStyle w:val="2"/>
        <w:ind w:left="0" w:leftChars="0"/>
        <w:rPr>
          <w:rFonts w:hint="default" w:ascii="Times New Roman" w:hAnsi="Times New Roman" w:eastAsia="黑体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highlight w:val="none"/>
          <w:lang w:val="en-US" w:eastAsia="zh-CN"/>
        </w:rPr>
        <w:t>附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highlight w:val="none"/>
          <w:lang w:eastAsia="zh-CN"/>
        </w:rPr>
        <w:t>件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highlight w:val="none"/>
          <w:lang w:val="en-US" w:eastAsia="zh-CN"/>
        </w:rPr>
        <w:t>11</w:t>
      </w:r>
    </w:p>
    <w:p w14:paraId="0C9DC5EF">
      <w:pPr>
        <w:spacing w:line="560" w:lineRule="exact"/>
        <w:jc w:val="center"/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  <w:lang w:val="en-US" w:eastAsia="zh-CN"/>
        </w:rPr>
      </w:pPr>
    </w:p>
    <w:p w14:paraId="7B78E656">
      <w:pPr>
        <w:spacing w:line="560" w:lineRule="exact"/>
        <w:jc w:val="center"/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  <w:lang w:val="en-US" w:eastAsia="zh-CN"/>
        </w:rPr>
      </w:pP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  <w:lang w:val="en-US" w:eastAsia="zh-CN"/>
        </w:rPr>
        <w:t>石景山区企业综合服务平台政策兑现</w:t>
      </w:r>
    </w:p>
    <w:p w14:paraId="19134F5A">
      <w:pPr>
        <w:spacing w:line="560" w:lineRule="exact"/>
        <w:jc w:val="center"/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  <w:lang w:val="en-US" w:eastAsia="zh-CN"/>
        </w:rPr>
      </w:pP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  <w:lang w:val="en-US" w:eastAsia="zh-CN"/>
        </w:rPr>
        <w:t>操作手册</w:t>
      </w:r>
    </w:p>
    <w:p w14:paraId="7024C068">
      <w:pPr>
        <w:pStyle w:val="2"/>
        <w:ind w:left="0" w:leftChars="0"/>
        <w:jc w:val="left"/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  <w:lang w:val="en-US" w:eastAsia="zh-CN"/>
        </w:rPr>
      </w:pP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  <w:lang w:val="en-US" w:eastAsia="zh-CN"/>
        </w:rPr>
        <w:drawing>
          <wp:inline distT="0" distB="0" distL="114300" distR="114300">
            <wp:extent cx="4901565" cy="6934835"/>
            <wp:effectExtent l="0" t="0" r="13335" b="18415"/>
            <wp:docPr id="18" name="图片 26" descr="附件5：石景山区企业综合服务平台政策兑现操作手册_p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6" descr="附件5：石景山区企业综合服务平台政策兑现操作手册_page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693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  <w:lang w:val="en-US" w:eastAsia="zh-CN"/>
        </w:rPr>
        <w:drawing>
          <wp:inline distT="0" distB="0" distL="114300" distR="114300">
            <wp:extent cx="5272405" cy="7459345"/>
            <wp:effectExtent l="0" t="0" r="4445" b="8255"/>
            <wp:docPr id="20" name="图片 25" descr="附件5：石景山区企业综合服务平台政策兑现操作手册_p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5" descr="附件5：石景山区企业综合服务平台政策兑现操作手册_page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  <w:lang w:val="en-US" w:eastAsia="zh-CN"/>
        </w:rPr>
        <w:drawing>
          <wp:inline distT="0" distB="0" distL="114300" distR="114300">
            <wp:extent cx="5272405" cy="7459345"/>
            <wp:effectExtent l="0" t="0" r="4445" b="8255"/>
            <wp:docPr id="21" name="图片 24" descr="附件5：石景山区企业综合服务平台政策兑现操作手册_p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4" descr="附件5：石景山区企业综合服务平台政策兑现操作手册_page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  <w:lang w:val="en-US" w:eastAsia="zh-CN"/>
        </w:rPr>
        <w:drawing>
          <wp:inline distT="0" distB="0" distL="114300" distR="114300">
            <wp:extent cx="5272405" cy="7459345"/>
            <wp:effectExtent l="0" t="0" r="4445" b="8255"/>
            <wp:docPr id="22" name="图片 23" descr="附件5：石景山区企业综合服务平台政策兑现操作手册_p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3" descr="附件5：石景山区企业综合服务平台政策兑现操作手册_page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  <w:lang w:val="en-US" w:eastAsia="zh-CN"/>
        </w:rPr>
        <w:drawing>
          <wp:inline distT="0" distB="0" distL="114300" distR="114300">
            <wp:extent cx="5272405" cy="7459345"/>
            <wp:effectExtent l="0" t="0" r="4445" b="8255"/>
            <wp:docPr id="23" name="图片 22" descr="附件5：石景山区企业综合服务平台政策兑现操作手册_p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附件5：石景山区企业综合服务平台政策兑现操作手册_page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  <w:lang w:val="en-US" w:eastAsia="zh-CN"/>
        </w:rPr>
        <w:drawing>
          <wp:inline distT="0" distB="0" distL="114300" distR="114300">
            <wp:extent cx="5272405" cy="7459345"/>
            <wp:effectExtent l="0" t="0" r="4445" b="8255"/>
            <wp:docPr id="24" name="图片 21" descr="附件5：石景山区企业综合服务平台政策兑现操作手册_p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 descr="附件5：石景山区企业综合服务平台政策兑现操作手册_page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  <w:lang w:val="en-US" w:eastAsia="zh-CN"/>
        </w:rPr>
        <w:drawing>
          <wp:inline distT="0" distB="0" distL="114300" distR="114300">
            <wp:extent cx="5272405" cy="7459345"/>
            <wp:effectExtent l="0" t="0" r="4445" b="8255"/>
            <wp:docPr id="25" name="图片 20" descr="附件5：石景山区企业综合服务平台政策兑现操作手册_p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 descr="附件5：石景山区企业综合服务平台政策兑现操作手册_page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  <w:lang w:val="en-US" w:eastAsia="zh-CN"/>
        </w:rPr>
        <w:drawing>
          <wp:inline distT="0" distB="0" distL="114300" distR="114300">
            <wp:extent cx="5272405" cy="7459345"/>
            <wp:effectExtent l="0" t="0" r="4445" b="8255"/>
            <wp:docPr id="26" name="图片 19" descr="附件5：石景山区企业综合服务平台政策兑现操作手册_p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 descr="附件5：石景山区企业综合服务平台政策兑现操作手册_page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  <w:lang w:val="en-US" w:eastAsia="zh-CN"/>
        </w:rPr>
        <w:drawing>
          <wp:inline distT="0" distB="0" distL="114300" distR="114300">
            <wp:extent cx="5272405" cy="7459345"/>
            <wp:effectExtent l="0" t="0" r="4445" b="8255"/>
            <wp:docPr id="27" name="图片 18" descr="附件5：石景山区企业综合服务平台政策兑现操作手册_p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 descr="附件5：石景山区企业综合服务平台政策兑现操作手册_page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  <w:lang w:val="en-US" w:eastAsia="zh-CN"/>
        </w:rPr>
        <w:drawing>
          <wp:inline distT="0" distB="0" distL="114300" distR="114300">
            <wp:extent cx="5272405" cy="7459345"/>
            <wp:effectExtent l="0" t="0" r="4445" b="8255"/>
            <wp:docPr id="28" name="图片 17" descr="附件5：石景山区企业综合服务平台政策兑现操作手册_p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 descr="附件5：石景山区企业综合服务平台政策兑现操作手册_page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  <w:lang w:val="en-US" w:eastAsia="zh-CN"/>
        </w:rPr>
        <w:drawing>
          <wp:inline distT="0" distB="0" distL="114300" distR="114300">
            <wp:extent cx="5272405" cy="7459345"/>
            <wp:effectExtent l="0" t="0" r="4445" b="8255"/>
            <wp:docPr id="11" name="图片 16" descr="附件5：石景山区企业综合服务平台政策兑现操作手册_p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 descr="附件5：石景山区企业综合服务平台政策兑现操作手册_page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  <w:lang w:val="en-US" w:eastAsia="zh-CN"/>
        </w:rPr>
        <w:drawing>
          <wp:inline distT="0" distB="0" distL="114300" distR="114300">
            <wp:extent cx="5272405" cy="7459345"/>
            <wp:effectExtent l="0" t="0" r="4445" b="8255"/>
            <wp:docPr id="29" name="图片 15" descr="附件5：石景山区企业综合服务平台政策兑现操作手册_p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 descr="附件5：石景山区企业综合服务平台政策兑现操作手册_page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AA367"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  <w:lang w:val="en-US" w:eastAsia="zh-CN"/>
        </w:rPr>
        <w:drawing>
          <wp:inline distT="0" distB="0" distL="114300" distR="114300">
            <wp:extent cx="5272405" cy="7459345"/>
            <wp:effectExtent l="0" t="0" r="4445" b="8255"/>
            <wp:docPr id="30" name="图片 14" descr="附件5：石景山区企业综合服务平台政策兑现操作手册_p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 descr="附件5：石景山区企业综合服务平台政策兑现操作手册_page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2000000000000000000"/>
    <w:charset w:val="86"/>
    <w:family w:val="script"/>
    <w:pitch w:val="default"/>
    <w:sig w:usb0="00000000" w:usb1="00000000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764B14"/>
    <w:rsid w:val="49764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3"/>
    <w:basedOn w:val="1"/>
    <w:next w:val="1"/>
    <w:qFormat/>
    <w:uiPriority w:val="0"/>
    <w:pPr>
      <w:ind w:left="840" w:leftChars="400"/>
    </w:p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2025-05-27T08:53:00Z</dcterms:created>
  <dc:creator>郎归晚</dc:creator>
  <cp:lastModifiedBy>郎归晚</cp:lastModifiedBy>
  <dcterms:modified xsi:type="dcterms:W3CDTF">2025-05-27T08:54:07Z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7314E980A5BF4F8D81007F4671B6FCD5_11</vt:lpwstr>
  </property>
  <property fmtid="{D5CDD505-2E9C-101B-9397-08002B2CF9AE}" pid="4" name="KSOTemplateDocerSaveRecord">
    <vt:lpwstr>eyJoZGlkIjoiMzJiYWI5MGVlOWJmZTQ5Y2I1MGMzODY0ODc1ODk1MDYiLCJ1c2VySWQiOiIzOTY2OTQxIn0=</vt:lpwstr>
  </property>
</Properties>
</file>