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outlineLvl w:val="0"/>
        <w:rPr>
          <w:rFonts w:hint="eastAsia" w:ascii="黑体" w:hAnsi="黑体" w:eastAsia="黑体" w:cs="黑体"/>
          <w:color w:val="333333"/>
          <w:spacing w:val="15"/>
          <w:kern w:val="0"/>
          <w:sz w:val="32"/>
          <w:szCs w:val="32"/>
          <w:highlight w:val="none"/>
          <w:shd w:val="clear" w:color="auto" w:fill="FFFFFF"/>
        </w:rPr>
      </w:pPr>
      <w:r>
        <w:rPr>
          <w:rFonts w:hint="eastAsia" w:ascii="黑体" w:hAnsi="黑体" w:eastAsia="黑体" w:cs="黑体"/>
          <w:color w:val="333333"/>
          <w:spacing w:val="15"/>
          <w:kern w:val="0"/>
          <w:sz w:val="32"/>
          <w:szCs w:val="32"/>
          <w:highlight w:val="none"/>
          <w:shd w:val="clear" w:color="auto" w:fill="FFFFFF"/>
        </w:rPr>
        <w:t>附件</w:t>
      </w:r>
    </w:p>
    <w:p>
      <w:pPr>
        <w:spacing w:line="520" w:lineRule="exact"/>
        <w:jc w:val="center"/>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2024年“专精特新”企业获批奖励</w:t>
      </w:r>
    </w:p>
    <w:p>
      <w:pPr>
        <w:spacing w:line="520" w:lineRule="exact"/>
        <w:jc w:val="center"/>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（区外申请认定）办事指南</w:t>
      </w:r>
    </w:p>
    <w:p>
      <w:pPr>
        <w:spacing w:line="520" w:lineRule="exact"/>
        <w:rPr>
          <w:rFonts w:hint="eastAsia" w:ascii="仿宋_GB2312" w:hAnsi="仿宋_GB2312" w:eastAsia="仿宋_GB2312" w:cs="仿宋_GB2312"/>
          <w:sz w:val="32"/>
          <w:szCs w:val="32"/>
          <w:highlight w:val="none"/>
        </w:rPr>
      </w:pPr>
    </w:p>
    <w:p>
      <w:pPr>
        <w:spacing w:line="520" w:lineRule="exact"/>
        <w:ind w:firstLine="640" w:firstLineChars="200"/>
        <w:outlineLvl w:val="0"/>
        <w:rPr>
          <w:rFonts w:hint="eastAsia" w:ascii="黑体" w:hAnsi="黑体" w:eastAsia="黑体" w:cs="黑体"/>
          <w:color w:val="000000"/>
          <w:kern w:val="0"/>
          <w:sz w:val="32"/>
          <w:szCs w:val="32"/>
          <w:highlight w:val="none"/>
        </w:rPr>
      </w:pPr>
      <w:r>
        <w:rPr>
          <w:rFonts w:hint="eastAsia" w:ascii="黑体" w:hAnsi="黑体" w:eastAsia="黑体" w:cs="黑体"/>
          <w:sz w:val="32"/>
          <w:szCs w:val="32"/>
          <w:highlight w:val="none"/>
        </w:rPr>
        <w:t>一、政策依据</w:t>
      </w:r>
    </w:p>
    <w:p>
      <w:pPr>
        <w:spacing w:line="520" w:lineRule="exact"/>
        <w:ind w:firstLine="640" w:firstLineChars="200"/>
        <w:rPr>
          <w:highlight w:val="none"/>
        </w:rPr>
      </w:pPr>
      <w:r>
        <w:rPr>
          <w:rFonts w:hint="eastAsia" w:ascii="仿宋_GB2312" w:hAnsi="仿宋_GB2312" w:eastAsia="仿宋_GB2312" w:cs="仿宋_GB2312"/>
          <w:sz w:val="32"/>
          <w:szCs w:val="32"/>
          <w:highlight w:val="none"/>
        </w:rPr>
        <w:t>《北京经济技术开发区关于进一步激发创新活力打造高精尖产业主阵地的若干意见》</w:t>
      </w:r>
      <w:r>
        <w:rPr>
          <w:rFonts w:hint="eastAsia" w:ascii="仿宋_GB2312" w:hAnsi="仿宋_GB2312" w:eastAsia="仿宋_GB2312" w:cs="仿宋_GB2312"/>
          <w:bCs/>
          <w:color w:val="000000"/>
          <w:kern w:val="0"/>
          <w:sz w:val="32"/>
          <w:szCs w:val="32"/>
          <w:highlight w:val="none"/>
        </w:rPr>
        <w:t>（京技管发〔2025〕4号）中第六条“实施创新企业梯度培育计划，构建多层次创新梯队。分层分类培育壮大高能级创新主体，构建大中小企业融通创新发展格局。鼓励高新技术企业资格认定，对获批的国家高新技术企业给予一次性30万元支持，对有效期满再次申请并通过认定的国家高新技术企业给予一次性20万元支持。支持专精特新典型示范，对获批或有效期满通过复核的国家级专精特新“小巨人”企业、北京市专精特新中小企业，分别给予一次性80万元、30万元支持；对获批的北京市隐形冠军企业给予一次性100万元支持，对获批的国家制造业单项冠军企业给予一次性200万元支持；单个企业不重复支持，晋级享受差额奖励。”</w:t>
      </w:r>
    </w:p>
    <w:p>
      <w:pPr>
        <w:spacing w:line="52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二、申报事项</w:t>
      </w:r>
    </w:p>
    <w:p>
      <w:pPr>
        <w:spacing w:line="520" w:lineRule="exact"/>
        <w:ind w:firstLine="640" w:firstLineChars="200"/>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sz w:val="32"/>
          <w:szCs w:val="32"/>
          <w:highlight w:val="none"/>
        </w:rPr>
        <w:t>2024年“专精特新”企业</w:t>
      </w:r>
      <w:r>
        <w:rPr>
          <w:rFonts w:hint="eastAsia" w:ascii="仿宋_GB2312" w:hAnsi="仿宋_GB2312" w:eastAsia="仿宋_GB2312" w:cs="仿宋_GB2312"/>
          <w:sz w:val="32"/>
          <w:szCs w:val="32"/>
          <w:highlight w:val="none"/>
          <w:lang w:eastAsia="zh-CN"/>
        </w:rPr>
        <w:t>获批</w:t>
      </w:r>
      <w:r>
        <w:rPr>
          <w:rFonts w:hint="eastAsia" w:ascii="仿宋_GB2312" w:hAnsi="仿宋_GB2312" w:eastAsia="仿宋_GB2312" w:cs="仿宋_GB2312"/>
          <w:sz w:val="32"/>
          <w:szCs w:val="32"/>
          <w:highlight w:val="none"/>
        </w:rPr>
        <w:t>奖励</w:t>
      </w:r>
      <w:r>
        <w:rPr>
          <w:rFonts w:hint="eastAsia" w:ascii="仿宋_GB2312" w:hAnsi="仿宋_GB2312" w:eastAsia="仿宋_GB2312" w:cs="仿宋_GB2312"/>
          <w:sz w:val="32"/>
          <w:szCs w:val="32"/>
          <w:highlight w:val="none"/>
          <w:lang w:eastAsia="zh-CN"/>
        </w:rPr>
        <w:t>（区外申请认定）</w:t>
      </w:r>
    </w:p>
    <w:p>
      <w:pPr>
        <w:spacing w:line="520" w:lineRule="exact"/>
        <w:ind w:firstLine="640" w:firstLineChars="200"/>
        <w:outlineLvl w:val="0"/>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三、申报条件</w:t>
      </w:r>
    </w:p>
    <w:p>
      <w:pPr>
        <w:widowControl/>
        <w:spacing w:line="560" w:lineRule="exact"/>
        <w:ind w:firstLine="640" w:firstLineChars="20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（一）截止到2024年12月31日，企业需</w:t>
      </w:r>
      <w:r>
        <w:rPr>
          <w:rFonts w:hint="eastAsia" w:ascii="仿宋_GB2312" w:hAnsi="仿宋_GB2312" w:eastAsia="仿宋_GB2312" w:cs="仿宋_GB2312"/>
          <w:sz w:val="32"/>
          <w:szCs w:val="32"/>
          <w:highlight w:val="none"/>
        </w:rPr>
        <w:t>具备在经开区</w:t>
      </w:r>
      <w:r>
        <w:rPr>
          <w:rFonts w:hint="eastAsia" w:ascii="仿宋_GB2312" w:hAnsi="仿宋_GB2312" w:eastAsia="仿宋_GB2312" w:cs="仿宋_GB2312"/>
          <w:sz w:val="32"/>
          <w:szCs w:val="32"/>
          <w:highlight w:val="none"/>
          <w:lang w:eastAsia="zh-CN"/>
        </w:rPr>
        <w:t>以外</w:t>
      </w:r>
      <w:r>
        <w:rPr>
          <w:rFonts w:hint="eastAsia" w:ascii="仿宋_GB2312" w:hAnsi="仿宋_GB2312" w:eastAsia="仿宋_GB2312" w:cs="仿宋_GB2312"/>
          <w:sz w:val="32"/>
          <w:szCs w:val="32"/>
          <w:highlight w:val="none"/>
        </w:rPr>
        <w:t>提出申请并获批的，且在有效期内的市级及以上专精特新中小企业或国家级专精特新“小巨人”企业资质</w:t>
      </w:r>
      <w:r>
        <w:rPr>
          <w:rFonts w:hint="eastAsia" w:ascii="仿宋_GB2312" w:hAnsi="仿宋_GB2312" w:eastAsia="仿宋_GB2312" w:cs="仿宋_GB2312"/>
          <w:bCs/>
          <w:kern w:val="0"/>
          <w:sz w:val="32"/>
          <w:szCs w:val="32"/>
          <w:highlight w:val="none"/>
        </w:rPr>
        <w:t>；</w:t>
      </w:r>
    </w:p>
    <w:p>
      <w:pPr>
        <w:widowControl/>
        <w:spacing w:line="560" w:lineRule="exact"/>
        <w:ind w:firstLine="640" w:firstLineChars="20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（二）截止到2025年6月30日，企业须持续在亦庄新城225平方公里范围内依法经营且实际办公，对于不符合上述情况的企业不纳入兑现范围。</w:t>
      </w:r>
    </w:p>
    <w:p>
      <w:pPr>
        <w:spacing w:line="520" w:lineRule="exact"/>
        <w:ind w:firstLine="640" w:firstLineChars="20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（三）已被相关部门公告取消认定资质的企业，不纳入兑现范围。</w:t>
      </w:r>
    </w:p>
    <w:p>
      <w:pPr>
        <w:spacing w:line="520" w:lineRule="exact"/>
        <w:ind w:firstLine="640" w:firstLineChars="200"/>
        <w:outlineLvl w:val="0"/>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四、支持内容及标准</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kern w:val="0"/>
          <w:sz w:val="32"/>
          <w:szCs w:val="32"/>
          <w:highlight w:val="none"/>
        </w:rPr>
        <w:t>对截止到2024年12月31日</w:t>
      </w:r>
      <w:r>
        <w:rPr>
          <w:rFonts w:hint="eastAsia" w:ascii="仿宋_GB2312" w:hAnsi="仿宋_GB2312" w:eastAsia="仿宋_GB2312" w:cs="仿宋_GB2312"/>
          <w:sz w:val="32"/>
          <w:szCs w:val="32"/>
          <w:highlight w:val="none"/>
        </w:rPr>
        <w:t>具备有效期内的国家专精特新“小巨人”企业资质的企业，给予一次性资金奖励80万元；</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bCs/>
          <w:kern w:val="0"/>
          <w:sz w:val="32"/>
          <w:szCs w:val="32"/>
          <w:highlight w:val="none"/>
        </w:rPr>
        <w:t>对截止到2024年12月31日</w:t>
      </w:r>
      <w:r>
        <w:rPr>
          <w:rFonts w:hint="eastAsia" w:ascii="仿宋_GB2312" w:hAnsi="仿宋_GB2312" w:eastAsia="仿宋_GB2312" w:cs="仿宋_GB2312"/>
          <w:sz w:val="32"/>
          <w:szCs w:val="32"/>
          <w:highlight w:val="none"/>
        </w:rPr>
        <w:t>具备有效期内的市级专精特新企业资质的企业，给予一次性资金奖励30万元；</w:t>
      </w:r>
    </w:p>
    <w:p>
      <w:pPr>
        <w:spacing w:line="520" w:lineRule="exact"/>
        <w:ind w:firstLine="640" w:firstLineChars="200"/>
        <w:rPr>
          <w:highlight w:val="none"/>
        </w:rPr>
      </w:pPr>
      <w:r>
        <w:rPr>
          <w:rFonts w:hint="eastAsia" w:ascii="仿宋_GB2312" w:hAnsi="仿宋_GB2312" w:eastAsia="仿宋_GB2312" w:cs="仿宋_GB2312"/>
          <w:sz w:val="32"/>
          <w:szCs w:val="32"/>
          <w:highlight w:val="none"/>
        </w:rPr>
        <w:t>（三）</w:t>
      </w:r>
      <w:r>
        <w:rPr>
          <w:rFonts w:hint="eastAsia" w:ascii="仿宋_GB2312" w:eastAsia="仿宋_GB2312"/>
          <w:sz w:val="32"/>
          <w:szCs w:val="32"/>
          <w:highlight w:val="none"/>
        </w:rPr>
        <w:t>上述资金支持，按照从高不重复执行。晋级享受差额奖励，单个企业不重复支持。</w:t>
      </w:r>
    </w:p>
    <w:p>
      <w:pPr>
        <w:spacing w:line="52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五、申报材料及要求</w:t>
      </w:r>
    </w:p>
    <w:p>
      <w:pPr>
        <w:spacing w:line="520" w:lineRule="exact"/>
        <w:ind w:firstLine="640" w:firstLineChars="200"/>
        <w:outlineLvl w:val="1"/>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1.2024年“专精特新”企业获批奖励（区外申请认定）</w:t>
      </w:r>
      <w:r>
        <w:rPr>
          <w:rFonts w:hint="eastAsia" w:ascii="仿宋_GB2312" w:hAnsi="仿宋_GB2312" w:eastAsia="仿宋_GB2312" w:cs="仿宋_GB2312"/>
          <w:spacing w:val="6"/>
          <w:sz w:val="32"/>
          <w:szCs w:val="32"/>
          <w:highlight w:val="none"/>
        </w:rPr>
        <w:t>申报表，在线填写；</w:t>
      </w:r>
    </w:p>
    <w:p>
      <w:pPr>
        <w:spacing w:line="520" w:lineRule="exact"/>
        <w:ind w:firstLine="640" w:firstLineChars="200"/>
        <w:outlineLvl w:val="1"/>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2.企业营业执照，选取电子证照</w:t>
      </w:r>
      <w:r>
        <w:rPr>
          <w:rFonts w:hint="eastAsia" w:ascii="仿宋_GB2312" w:hAnsi="仿宋_GB2312" w:eastAsia="仿宋_GB2312" w:cs="仿宋_GB2312"/>
          <w:spacing w:val="6"/>
          <w:sz w:val="32"/>
          <w:szCs w:val="32"/>
          <w:highlight w:val="none"/>
        </w:rPr>
        <w:t>；</w:t>
      </w:r>
    </w:p>
    <w:p>
      <w:pPr>
        <w:spacing w:line="520" w:lineRule="exact"/>
        <w:ind w:firstLine="640" w:firstLineChars="200"/>
        <w:outlineLvl w:val="1"/>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pacing w:val="6"/>
          <w:sz w:val="32"/>
          <w:szCs w:val="32"/>
          <w:highlight w:val="none"/>
        </w:rPr>
        <w:t>承诺书，下载模板填写，签字、加盖公章，彩色扫描上传；</w:t>
      </w:r>
    </w:p>
    <w:p>
      <w:pPr>
        <w:spacing w:line="520" w:lineRule="exact"/>
        <w:ind w:firstLine="640" w:firstLineChars="200"/>
        <w:outlineLvl w:val="1"/>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pacing w:val="6"/>
          <w:sz w:val="32"/>
          <w:szCs w:val="32"/>
          <w:highlight w:val="none"/>
        </w:rPr>
        <w:t>银行账户信息，下载模板填写，加盖公章，彩色扫描上传；</w:t>
      </w:r>
    </w:p>
    <w:p>
      <w:pPr>
        <w:spacing w:line="520" w:lineRule="exact"/>
        <w:ind w:firstLine="640" w:firstLineChars="200"/>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5.“专精特新”资质证书（与申报表保持一致，若多次获得资质，所有证书均需提供），原件彩色扫描上传</w:t>
      </w:r>
      <w:r>
        <w:rPr>
          <w:rFonts w:hint="eastAsia" w:ascii="仿宋_GB2312" w:hAnsi="仿宋_GB2312" w:eastAsia="仿宋_GB2312" w:cs="仿宋_GB2312"/>
          <w:spacing w:val="6"/>
          <w:sz w:val="32"/>
          <w:szCs w:val="32"/>
          <w:highlight w:val="none"/>
        </w:rPr>
        <w:t>；</w:t>
      </w:r>
    </w:p>
    <w:p>
      <w:pPr>
        <w:spacing w:line="520" w:lineRule="exact"/>
        <w:ind w:firstLine="640" w:firstLineChars="200"/>
        <w:outlineLvl w:val="0"/>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6.实际办公地址证明材料（包括但不限于房屋产权证明、租赁合同及发票、房屋权属单位或管理运营单位出具的实际办公地址证明等），原件</w:t>
      </w:r>
      <w:r>
        <w:rPr>
          <w:rFonts w:ascii="仿宋_GB2312" w:hAnsi="仿宋_GB2312" w:eastAsia="仿宋_GB2312" w:cs="仿宋_GB2312"/>
          <w:spacing w:val="6"/>
          <w:sz w:val="32"/>
          <w:szCs w:val="32"/>
          <w:highlight w:val="none"/>
        </w:rPr>
        <w:t>彩色</w:t>
      </w:r>
      <w:r>
        <w:rPr>
          <w:rFonts w:hint="eastAsia" w:ascii="仿宋_GB2312" w:hAnsi="仿宋_GB2312" w:eastAsia="仿宋_GB2312" w:cs="仿宋_GB2312"/>
          <w:spacing w:val="6"/>
          <w:sz w:val="32"/>
          <w:szCs w:val="32"/>
          <w:highlight w:val="none"/>
        </w:rPr>
        <w:t>扫描</w:t>
      </w:r>
      <w:r>
        <w:rPr>
          <w:rFonts w:ascii="仿宋_GB2312" w:hAnsi="仿宋_GB2312" w:eastAsia="仿宋_GB2312" w:cs="仿宋_GB2312"/>
          <w:spacing w:val="6"/>
          <w:sz w:val="32"/>
          <w:szCs w:val="32"/>
          <w:highlight w:val="none"/>
        </w:rPr>
        <w:t>上传</w:t>
      </w:r>
      <w:r>
        <w:rPr>
          <w:rFonts w:hint="eastAsia" w:ascii="仿宋_GB2312" w:hAnsi="仿宋_GB2312" w:eastAsia="仿宋_GB2312" w:cs="仿宋_GB2312"/>
          <w:spacing w:val="6"/>
          <w:sz w:val="32"/>
          <w:szCs w:val="32"/>
          <w:highlight w:val="none"/>
        </w:rPr>
        <w:t>。</w:t>
      </w:r>
    </w:p>
    <w:p>
      <w:pPr>
        <w:spacing w:line="52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六、办理程序</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
          <w:bCs/>
          <w:sz w:val="32"/>
          <w:szCs w:val="32"/>
          <w:highlight w:val="none"/>
        </w:rPr>
        <w:t>网上申报</w:t>
      </w:r>
      <w:r>
        <w:rPr>
          <w:rFonts w:hint="eastAsia" w:ascii="仿宋_GB2312" w:hAnsi="仿宋_GB2312" w:eastAsia="仿宋_GB2312" w:cs="仿宋_GB2312"/>
          <w:sz w:val="32"/>
          <w:szCs w:val="32"/>
          <w:highlight w:val="none"/>
        </w:rPr>
        <w:t>：</w:t>
      </w:r>
      <w:bookmarkStart w:id="0" w:name="_Hlk192779400"/>
      <w:r>
        <w:rPr>
          <w:rFonts w:hint="eastAsia" w:ascii="仿宋_GB2312" w:hAnsi="仿宋_GB2312" w:eastAsia="仿宋_GB2312" w:cs="仿宋_GB2312"/>
          <w:sz w:val="32"/>
          <w:szCs w:val="32"/>
          <w:highlight w:val="none"/>
        </w:rPr>
        <w:t>通过北京市人民政府门户网站“政策兑现”栏目(https://zhengce.beijing.gov.cn)或经开区官网“政策兑现”栏目(zcdx.kfqgw.beijing.gov.cn)进入政策兑现综合服务平台</w:t>
      </w:r>
      <w:bookmarkEnd w:id="0"/>
      <w:r>
        <w:rPr>
          <w:rFonts w:hint="eastAsia" w:ascii="仿宋_GB2312" w:hAnsi="仿宋_GB2312" w:eastAsia="仿宋_GB2312" w:cs="仿宋_GB2312"/>
          <w:sz w:val="32"/>
          <w:szCs w:val="32"/>
          <w:highlight w:val="none"/>
        </w:rPr>
        <w:t>，注册登录后进行项目申报。如未在规定时间内提交申请的，视为自动放弃。</w:t>
      </w:r>
    </w:p>
    <w:p>
      <w:pPr>
        <w:pStyle w:val="9"/>
        <w:widowControl/>
        <w:numPr>
          <w:ilvl w:val="255"/>
          <w:numId w:val="0"/>
        </w:numPr>
        <w:spacing w:beforeAutospacing="0" w:afterAutospacing="0" w:line="560" w:lineRule="exact"/>
        <w:ind w:firstLine="640" w:firstLineChars="200"/>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
          <w:bCs/>
          <w:kern w:val="2"/>
          <w:sz w:val="32"/>
          <w:szCs w:val="32"/>
          <w:highlight w:val="none"/>
        </w:rPr>
        <w:t>初审</w:t>
      </w:r>
      <w:r>
        <w:rPr>
          <w:rFonts w:hint="eastAsia" w:ascii="仿宋_GB2312" w:hAnsi="仿宋_GB2312" w:eastAsia="仿宋_GB2312" w:cs="仿宋_GB2312"/>
          <w:kern w:val="2"/>
          <w:sz w:val="32"/>
          <w:szCs w:val="32"/>
          <w:highlight w:val="none"/>
        </w:rPr>
        <w:t>：经开区营商环境建设局对申报主体提交的材料进行完整性审查，材料不齐全或不符合要求的，告</w:t>
      </w:r>
      <w:bookmarkStart w:id="1" w:name="_GoBack"/>
      <w:bookmarkEnd w:id="1"/>
      <w:r>
        <w:rPr>
          <w:rFonts w:hint="eastAsia" w:ascii="仿宋_GB2312" w:hAnsi="仿宋_GB2312" w:eastAsia="仿宋_GB2312" w:cs="仿宋_GB2312"/>
          <w:kern w:val="2"/>
          <w:sz w:val="32"/>
          <w:szCs w:val="32"/>
          <w:highlight w:val="none"/>
        </w:rPr>
        <w:t>知申报主体补齐补正。</w:t>
      </w:r>
    </w:p>
    <w:p>
      <w:pPr>
        <w:pStyle w:val="9"/>
        <w:widowControl/>
        <w:spacing w:beforeAutospacing="0" w:afterAutospacing="0" w:line="560" w:lineRule="exact"/>
        <w:ind w:firstLine="640" w:firstLineChars="200"/>
        <w:jc w:val="both"/>
        <w:rPr>
          <w:rFonts w:hint="eastAsia" w:ascii="仿宋_GB2312" w:hAnsi="仿宋_GB2312" w:eastAsia="仿宋_GB2312" w:cs="仿宋_GB2312"/>
          <w:b/>
          <w:bCs/>
          <w:kern w:val="2"/>
          <w:sz w:val="32"/>
          <w:szCs w:val="32"/>
          <w:highlight w:val="none"/>
          <w:lang w:eastAsia="zh-CN"/>
        </w:rPr>
      </w:pPr>
      <w:r>
        <w:rPr>
          <w:rFonts w:hint="eastAsia" w:ascii="仿宋_GB2312" w:hAnsi="仿宋_GB2312" w:eastAsia="仿宋_GB2312" w:cs="仿宋_GB2312"/>
          <w:bCs/>
          <w:sz w:val="32"/>
          <w:szCs w:val="32"/>
          <w:highlight w:val="none"/>
        </w:rPr>
        <w:t>（三）</w:t>
      </w:r>
      <w:r>
        <w:rPr>
          <w:rFonts w:hint="eastAsia" w:ascii="仿宋_GB2312" w:hAnsi="仿宋_GB2312" w:eastAsia="仿宋_GB2312" w:cs="仿宋_GB2312"/>
          <w:b/>
          <w:bCs/>
          <w:kern w:val="2"/>
          <w:sz w:val="32"/>
          <w:szCs w:val="32"/>
          <w:highlight w:val="none"/>
        </w:rPr>
        <w:t>审核：</w:t>
      </w:r>
      <w:r>
        <w:rPr>
          <w:rFonts w:hint="eastAsia" w:ascii="仿宋_GB2312" w:hAnsi="仿宋_GB2312" w:eastAsia="仿宋_GB2312" w:cs="仿宋_GB2312"/>
          <w:kern w:val="2"/>
          <w:sz w:val="32"/>
          <w:szCs w:val="32"/>
          <w:highlight w:val="none"/>
        </w:rPr>
        <w:t>经开区</w:t>
      </w:r>
      <w:r>
        <w:rPr>
          <w:rFonts w:hint="eastAsia" w:ascii="仿宋_GB2312" w:hAnsi="仿宋_GB2312" w:eastAsia="仿宋_GB2312" w:cs="仿宋_GB2312"/>
          <w:sz w:val="32"/>
          <w:szCs w:val="32"/>
          <w:highlight w:val="none"/>
        </w:rPr>
        <w:t>科技和产业促进局</w:t>
      </w:r>
      <w:r>
        <w:rPr>
          <w:rFonts w:hint="eastAsia" w:ascii="仿宋_GB2312" w:hAnsi="仿宋_GB2312" w:eastAsia="仿宋_GB2312" w:cs="仿宋_GB2312"/>
          <w:kern w:val="2"/>
          <w:sz w:val="32"/>
          <w:szCs w:val="32"/>
          <w:highlight w:val="none"/>
        </w:rPr>
        <w:t>对申请材料进行实质审核</w:t>
      </w:r>
      <w:r>
        <w:rPr>
          <w:rFonts w:hint="eastAsia" w:ascii="仿宋_GB2312" w:hAnsi="仿宋_GB2312" w:eastAsia="仿宋_GB2312" w:cs="仿宋_GB2312"/>
          <w:kern w:val="2"/>
          <w:sz w:val="32"/>
          <w:szCs w:val="32"/>
          <w:highlight w:val="none"/>
          <w:lang w:eastAsia="zh-CN"/>
        </w:rPr>
        <w:t>。</w:t>
      </w:r>
    </w:p>
    <w:p>
      <w:pPr>
        <w:pStyle w:val="9"/>
        <w:widowControl/>
        <w:spacing w:beforeAutospacing="0" w:afterAutospacing="0" w:line="560" w:lineRule="exact"/>
        <w:ind w:firstLine="642" w:firstLineChars="200"/>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b/>
          <w:bCs/>
          <w:kern w:val="2"/>
          <w:sz w:val="32"/>
          <w:szCs w:val="32"/>
          <w:highlight w:val="none"/>
        </w:rPr>
        <w:t>（四）确定扶持结果</w:t>
      </w:r>
      <w:r>
        <w:rPr>
          <w:rFonts w:hint="eastAsia" w:ascii="仿宋_GB2312" w:hAnsi="仿宋_GB2312" w:eastAsia="仿宋_GB2312" w:cs="仿宋_GB2312"/>
          <w:kern w:val="2"/>
          <w:sz w:val="32"/>
          <w:szCs w:val="32"/>
          <w:highlight w:val="none"/>
        </w:rPr>
        <w:t>：经开区</w:t>
      </w:r>
      <w:r>
        <w:rPr>
          <w:rFonts w:hint="eastAsia" w:ascii="仿宋_GB2312" w:hAnsi="仿宋_GB2312" w:eastAsia="仿宋_GB2312" w:cs="仿宋_GB2312"/>
          <w:sz w:val="32"/>
          <w:szCs w:val="32"/>
          <w:highlight w:val="none"/>
        </w:rPr>
        <w:t>科技和产业促进局</w:t>
      </w:r>
      <w:r>
        <w:rPr>
          <w:rFonts w:hint="eastAsia" w:ascii="仿宋_GB2312" w:hAnsi="仿宋_GB2312" w:eastAsia="仿宋_GB2312" w:cs="仿宋_GB2312"/>
          <w:kern w:val="2"/>
          <w:sz w:val="32"/>
          <w:szCs w:val="32"/>
          <w:highlight w:val="none"/>
        </w:rPr>
        <w:t>对申请材料进行实质审核，对审核通过的申报主体拟定兑现扶持奖励金额。</w:t>
      </w:r>
    </w:p>
    <w:p>
      <w:pPr>
        <w:pStyle w:val="9"/>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bCs/>
          <w:sz w:val="32"/>
          <w:szCs w:val="32"/>
          <w:highlight w:val="none"/>
        </w:rPr>
        <w:t>（五）</w:t>
      </w:r>
      <w:r>
        <w:rPr>
          <w:rFonts w:hint="eastAsia" w:ascii="仿宋_GB2312" w:hAnsi="仿宋_GB2312" w:eastAsia="仿宋_GB2312" w:cs="仿宋_GB2312"/>
          <w:b/>
          <w:bCs/>
          <w:kern w:val="2"/>
          <w:sz w:val="32"/>
          <w:szCs w:val="32"/>
          <w:highlight w:val="none"/>
        </w:rPr>
        <w:t>公示</w:t>
      </w:r>
      <w:r>
        <w:rPr>
          <w:rFonts w:hint="eastAsia" w:ascii="仿宋_GB2312" w:hAnsi="仿宋_GB2312" w:eastAsia="仿宋_GB2312" w:cs="仿宋_GB2312"/>
          <w:kern w:val="2"/>
          <w:sz w:val="32"/>
          <w:szCs w:val="32"/>
          <w:highlight w:val="none"/>
        </w:rPr>
        <w:t>：经开区</w:t>
      </w:r>
      <w:r>
        <w:rPr>
          <w:rFonts w:hint="eastAsia" w:ascii="仿宋_GB2312" w:hAnsi="仿宋_GB2312" w:eastAsia="仿宋_GB2312" w:cs="仿宋_GB2312"/>
          <w:sz w:val="32"/>
          <w:szCs w:val="32"/>
          <w:highlight w:val="none"/>
        </w:rPr>
        <w:t>科技和产业促进局</w:t>
      </w:r>
      <w:r>
        <w:rPr>
          <w:rFonts w:hint="eastAsia" w:ascii="仿宋_GB2312" w:hAnsi="仿宋_GB2312" w:eastAsia="仿宋_GB2312" w:cs="仿宋_GB2312"/>
          <w:kern w:val="2"/>
          <w:sz w:val="32"/>
          <w:szCs w:val="32"/>
          <w:highlight w:val="none"/>
        </w:rPr>
        <w:t>通过政策兑现综合服务平台对审核通过的申报主体进行公示。</w:t>
      </w:r>
    </w:p>
    <w:p>
      <w:pPr>
        <w:pStyle w:val="9"/>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（六）</w:t>
      </w:r>
      <w:r>
        <w:rPr>
          <w:rFonts w:hint="eastAsia" w:ascii="仿宋_GB2312" w:hAnsi="仿宋_GB2312" w:eastAsia="仿宋_GB2312" w:cs="仿宋_GB2312"/>
          <w:b/>
          <w:bCs/>
          <w:kern w:val="2"/>
          <w:sz w:val="32"/>
          <w:szCs w:val="32"/>
          <w:highlight w:val="none"/>
        </w:rPr>
        <w:t>资金拨付</w:t>
      </w:r>
      <w:r>
        <w:rPr>
          <w:rFonts w:hint="eastAsia" w:ascii="仿宋_GB2312" w:hAnsi="仿宋_GB2312" w:eastAsia="仿宋_GB2312" w:cs="仿宋_GB2312"/>
          <w:kern w:val="2"/>
          <w:sz w:val="32"/>
          <w:szCs w:val="32"/>
          <w:highlight w:val="none"/>
        </w:rPr>
        <w:t>：经公示无异议的，完成资金拨付。</w:t>
      </w:r>
    </w:p>
    <w:p>
      <w:pPr>
        <w:spacing w:line="52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七、主责部门</w:t>
      </w:r>
    </w:p>
    <w:p>
      <w:pPr>
        <w:spacing w:line="520" w:lineRule="exact"/>
        <w:ind w:firstLine="640" w:firstLineChars="200"/>
        <w:rPr>
          <w:rFonts w:hint="eastAsia" w:ascii="仿宋_GB2312" w:hAnsi="仿宋_GB2312" w:eastAsia="仿宋_GB2312" w:cs="仿宋_GB2312"/>
          <w:b/>
          <w:bCs/>
          <w:sz w:val="32"/>
          <w:szCs w:val="32"/>
          <w:highlight w:val="none"/>
        </w:rPr>
      </w:pPr>
      <w:r>
        <w:rPr>
          <w:rFonts w:hint="eastAsia" w:eastAsia="仿宋_GB2312" w:cs="仿宋_GB2312"/>
          <w:sz w:val="32"/>
          <w:szCs w:val="32"/>
          <w:highlight w:val="none"/>
        </w:rPr>
        <w:t>经开区科技和产业促进局</w:t>
      </w:r>
    </w:p>
    <w:p>
      <w:pPr>
        <w:spacing w:line="52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八、受理窗口</w:t>
      </w:r>
    </w:p>
    <w:p>
      <w:pPr>
        <w:spacing w:line="52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北京经济技术开发区万源街4号政务服务大厅“政策申报”窗口</w:t>
      </w:r>
    </w:p>
    <w:p>
      <w:pPr>
        <w:spacing w:line="52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九、申报时间</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2025年7月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日至2025年7月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日</w:t>
      </w:r>
    </w:p>
    <w:p>
      <w:pPr>
        <w:spacing w:line="52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十、联系方式</w:t>
      </w:r>
    </w:p>
    <w:p>
      <w:pPr>
        <w:spacing w:line="520" w:lineRule="exact"/>
        <w:ind w:firstLine="640" w:firstLineChars="200"/>
        <w:outlineLvl w:val="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政策咨询：</w:t>
      </w:r>
    </w:p>
    <w:p>
      <w:pPr>
        <w:spacing w:line="520" w:lineRule="exact"/>
        <w:ind w:firstLine="640" w:firstLineChars="200"/>
        <w:rPr>
          <w:rFonts w:eastAsia="仿宋_GB2312"/>
          <w:sz w:val="32"/>
          <w:szCs w:val="32"/>
          <w:highlight w:val="none"/>
        </w:rPr>
      </w:pPr>
      <w:r>
        <w:rPr>
          <w:rFonts w:hint="eastAsia" w:eastAsia="仿宋_GB2312"/>
          <w:sz w:val="32"/>
          <w:szCs w:val="32"/>
          <w:highlight w:val="none"/>
        </w:rPr>
        <w:t>经开区政务服务大厅“政策申报”窗口，联系电话：</w:t>
      </w:r>
      <w:r>
        <w:rPr>
          <w:rFonts w:hint="eastAsia" w:ascii="仿宋_GB2312" w:hAnsi="仿宋_GB2312" w:eastAsia="仿宋_GB2312" w:cs="仿宋_GB2312"/>
          <w:sz w:val="32"/>
          <w:szCs w:val="32"/>
          <w:highlight w:val="none"/>
        </w:rPr>
        <w:t>010-67857687</w:t>
      </w:r>
      <w:r>
        <w:rPr>
          <w:rFonts w:hint="eastAsia" w:eastAsia="仿宋_GB2312"/>
          <w:sz w:val="32"/>
          <w:szCs w:val="32"/>
          <w:highlight w:val="none"/>
        </w:rPr>
        <w:t>；</w:t>
      </w:r>
      <w:r>
        <w:rPr>
          <w:rFonts w:hint="eastAsia" w:ascii="仿宋_GB2312" w:hAnsi="仿宋_GB2312" w:eastAsia="仿宋_GB2312" w:cs="仿宋_GB2312"/>
          <w:sz w:val="32"/>
          <w:szCs w:val="32"/>
          <w:highlight w:val="none"/>
        </w:rPr>
        <w:t>010-67857878转4，工作日上午9:00—12:00，下午1:30—5:00。</w:t>
      </w:r>
    </w:p>
    <w:p>
      <w:pPr>
        <w:spacing w:line="520" w:lineRule="exact"/>
        <w:ind w:firstLine="640" w:firstLineChars="200"/>
        <w:rPr>
          <w:rFonts w:eastAsia="仿宋_GB2312"/>
          <w:sz w:val="32"/>
          <w:szCs w:val="32"/>
          <w:highlight w:val="none"/>
        </w:rPr>
      </w:pPr>
      <w:r>
        <w:rPr>
          <w:rFonts w:hint="eastAsia" w:eastAsia="仿宋_GB2312"/>
          <w:sz w:val="32"/>
          <w:szCs w:val="32"/>
          <w:highlight w:val="none"/>
        </w:rPr>
        <w:t>经开</w:t>
      </w:r>
      <w:r>
        <w:rPr>
          <w:rFonts w:hint="eastAsia" w:ascii="仿宋_GB2312" w:hAnsi="仿宋_GB2312" w:eastAsia="仿宋_GB2312" w:cs="仿宋_GB2312"/>
          <w:sz w:val="32"/>
          <w:szCs w:val="32"/>
          <w:highlight w:val="none"/>
        </w:rPr>
        <w:t>区科技和产业促进局，联系电话：</w:t>
      </w:r>
      <w:r>
        <w:rPr>
          <w:rFonts w:ascii="仿宋_GB2312" w:hAnsi="仿宋_GB2312" w:eastAsia="仿宋_GB2312" w:cs="仿宋_GB2312"/>
          <w:sz w:val="32"/>
          <w:szCs w:val="32"/>
          <w:highlight w:val="none"/>
        </w:rPr>
        <w:t>010-67881451</w:t>
      </w:r>
      <w:r>
        <w:rPr>
          <w:rFonts w:hint="eastAsia" w:ascii="仿宋_GB2312" w:hAnsi="仿宋_GB2312" w:eastAsia="仿宋_GB2312" w:cs="仿宋_GB2312"/>
          <w:sz w:val="32"/>
          <w:szCs w:val="32"/>
          <w:highlight w:val="none"/>
        </w:rPr>
        <w:t>、010-67880729，工作日上午9:00—12:00，下午2:00—6:00。</w:t>
      </w:r>
    </w:p>
    <w:p>
      <w:pPr>
        <w:spacing w:line="520" w:lineRule="exact"/>
        <w:ind w:firstLine="640" w:firstLineChars="200"/>
        <w:outlineLvl w:val="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技术支持：</w:t>
      </w:r>
    </w:p>
    <w:p>
      <w:pPr>
        <w:spacing w:line="520" w:lineRule="exact"/>
        <w:ind w:firstLine="640" w:firstLineChars="200"/>
        <w:rPr>
          <w:rFonts w:eastAsia="仿宋_GB2312"/>
          <w:sz w:val="32"/>
          <w:szCs w:val="32"/>
          <w:highlight w:val="none"/>
        </w:rPr>
      </w:pPr>
      <w:r>
        <w:rPr>
          <w:rFonts w:hint="eastAsia" w:eastAsia="仿宋_GB2312"/>
          <w:sz w:val="32"/>
          <w:szCs w:val="32"/>
          <w:highlight w:val="none"/>
        </w:rPr>
        <w:t>联系电话</w:t>
      </w:r>
      <w:r>
        <w:rPr>
          <w:rFonts w:hint="eastAsia" w:ascii="仿宋_GB2312" w:hAnsi="仿宋_GB2312" w:eastAsia="仿宋_GB2312" w:cs="仿宋_GB2312"/>
          <w:sz w:val="32"/>
          <w:szCs w:val="32"/>
          <w:highlight w:val="none"/>
        </w:rPr>
        <w:t>：010-67857638，工作日上午9:00—12:00，下午2:00—6:00。</w:t>
      </w:r>
    </w:p>
    <w:p>
      <w:pPr>
        <w:spacing w:line="520" w:lineRule="exact"/>
        <w:ind w:firstLine="640" w:firstLineChars="200"/>
        <w:outlineLvl w:val="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十一、收费标准</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不收费</w:t>
      </w:r>
    </w:p>
    <w:p>
      <w:pPr>
        <w:spacing w:line="52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十二、特别说明</w:t>
      </w:r>
    </w:p>
    <w:p>
      <w:pPr>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符合申报条件但在2022年取得“专精特新”资质企业，应在本次提出申请，同时需于2025年在亦庄新城参加资质复核并通过，奖励资金于次年拨付。</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60052"/>
    <w:rsid w:val="00062C5F"/>
    <w:rsid w:val="00075BED"/>
    <w:rsid w:val="000F62F2"/>
    <w:rsid w:val="001145E7"/>
    <w:rsid w:val="0012071E"/>
    <w:rsid w:val="00161422"/>
    <w:rsid w:val="00161CCE"/>
    <w:rsid w:val="001D756E"/>
    <w:rsid w:val="0025270D"/>
    <w:rsid w:val="00263C07"/>
    <w:rsid w:val="002838D9"/>
    <w:rsid w:val="00285347"/>
    <w:rsid w:val="00360EF1"/>
    <w:rsid w:val="00395968"/>
    <w:rsid w:val="00457B4D"/>
    <w:rsid w:val="004C7FED"/>
    <w:rsid w:val="005301DB"/>
    <w:rsid w:val="005570A2"/>
    <w:rsid w:val="005C1071"/>
    <w:rsid w:val="005F459C"/>
    <w:rsid w:val="00600D10"/>
    <w:rsid w:val="00687203"/>
    <w:rsid w:val="006A1513"/>
    <w:rsid w:val="006D0140"/>
    <w:rsid w:val="00710378"/>
    <w:rsid w:val="00784349"/>
    <w:rsid w:val="00844BDB"/>
    <w:rsid w:val="00861BBC"/>
    <w:rsid w:val="0089115E"/>
    <w:rsid w:val="008B6B5C"/>
    <w:rsid w:val="00900A14"/>
    <w:rsid w:val="00923A77"/>
    <w:rsid w:val="0098077A"/>
    <w:rsid w:val="00A3406B"/>
    <w:rsid w:val="00A476EF"/>
    <w:rsid w:val="00AA3897"/>
    <w:rsid w:val="00B74D80"/>
    <w:rsid w:val="00C122AB"/>
    <w:rsid w:val="00CF494D"/>
    <w:rsid w:val="00D460B2"/>
    <w:rsid w:val="00D668C9"/>
    <w:rsid w:val="00D76185"/>
    <w:rsid w:val="00D85A9F"/>
    <w:rsid w:val="00E1488D"/>
    <w:rsid w:val="00E7315F"/>
    <w:rsid w:val="00EA199B"/>
    <w:rsid w:val="00FE3798"/>
    <w:rsid w:val="01540D91"/>
    <w:rsid w:val="01586909"/>
    <w:rsid w:val="015C7ADB"/>
    <w:rsid w:val="01904DED"/>
    <w:rsid w:val="01CB7B50"/>
    <w:rsid w:val="01D948CF"/>
    <w:rsid w:val="020C0B78"/>
    <w:rsid w:val="0225322D"/>
    <w:rsid w:val="02297D4E"/>
    <w:rsid w:val="025430A8"/>
    <w:rsid w:val="026102BC"/>
    <w:rsid w:val="0278373A"/>
    <w:rsid w:val="0290748C"/>
    <w:rsid w:val="02D15920"/>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7F7285"/>
    <w:rsid w:val="08925D0E"/>
    <w:rsid w:val="089620E8"/>
    <w:rsid w:val="08A45B0A"/>
    <w:rsid w:val="08A825A4"/>
    <w:rsid w:val="08B97A0D"/>
    <w:rsid w:val="08BF34BA"/>
    <w:rsid w:val="08CC64FD"/>
    <w:rsid w:val="08D44C62"/>
    <w:rsid w:val="08E14130"/>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15394E"/>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7C2CF7"/>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6566E47"/>
    <w:rsid w:val="17261A0A"/>
    <w:rsid w:val="17286EDC"/>
    <w:rsid w:val="173A2F14"/>
    <w:rsid w:val="17AF44C7"/>
    <w:rsid w:val="17C45824"/>
    <w:rsid w:val="17C86D9E"/>
    <w:rsid w:val="183712FC"/>
    <w:rsid w:val="189F5C4C"/>
    <w:rsid w:val="18DF1E8D"/>
    <w:rsid w:val="18F4326C"/>
    <w:rsid w:val="19080C81"/>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A1D996"/>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455419"/>
    <w:rsid w:val="24773635"/>
    <w:rsid w:val="24AB3E23"/>
    <w:rsid w:val="2533284F"/>
    <w:rsid w:val="25594938"/>
    <w:rsid w:val="255A71D2"/>
    <w:rsid w:val="25DF3625"/>
    <w:rsid w:val="261E412A"/>
    <w:rsid w:val="26446E71"/>
    <w:rsid w:val="26602BD3"/>
    <w:rsid w:val="268B5032"/>
    <w:rsid w:val="271005EA"/>
    <w:rsid w:val="2727206E"/>
    <w:rsid w:val="273D6D1B"/>
    <w:rsid w:val="275E3649"/>
    <w:rsid w:val="2768133E"/>
    <w:rsid w:val="27721755"/>
    <w:rsid w:val="27874815"/>
    <w:rsid w:val="281D6715"/>
    <w:rsid w:val="28504DCE"/>
    <w:rsid w:val="286873FE"/>
    <w:rsid w:val="288627FF"/>
    <w:rsid w:val="28942D3D"/>
    <w:rsid w:val="28A332E9"/>
    <w:rsid w:val="29857C2F"/>
    <w:rsid w:val="29D97CC6"/>
    <w:rsid w:val="2A1D0ADC"/>
    <w:rsid w:val="2A5F7219"/>
    <w:rsid w:val="2A6102E1"/>
    <w:rsid w:val="2AB25697"/>
    <w:rsid w:val="2ACF7AB8"/>
    <w:rsid w:val="2B011CF0"/>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EFF26F5"/>
    <w:rsid w:val="2F2F2A58"/>
    <w:rsid w:val="2F5D1137"/>
    <w:rsid w:val="2F6E0190"/>
    <w:rsid w:val="2F8D4635"/>
    <w:rsid w:val="2FFB67E7"/>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5E911F0"/>
    <w:rsid w:val="36744D66"/>
    <w:rsid w:val="36E95DAE"/>
    <w:rsid w:val="37184DFF"/>
    <w:rsid w:val="379BF0CA"/>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875FCD"/>
    <w:rsid w:val="3A906CBE"/>
    <w:rsid w:val="3AA934A6"/>
    <w:rsid w:val="3B077069"/>
    <w:rsid w:val="3B0A5D15"/>
    <w:rsid w:val="3B6877C8"/>
    <w:rsid w:val="3B8007AD"/>
    <w:rsid w:val="3BAB02CC"/>
    <w:rsid w:val="3BDA7DE5"/>
    <w:rsid w:val="3C2F160E"/>
    <w:rsid w:val="3C5F033A"/>
    <w:rsid w:val="3CD117BD"/>
    <w:rsid w:val="3CF83180"/>
    <w:rsid w:val="3D0B1E04"/>
    <w:rsid w:val="3D23696B"/>
    <w:rsid w:val="3D94503B"/>
    <w:rsid w:val="3DAA6DAB"/>
    <w:rsid w:val="3DD55352"/>
    <w:rsid w:val="3DD73586"/>
    <w:rsid w:val="3DE32562"/>
    <w:rsid w:val="3DE4091A"/>
    <w:rsid w:val="3E20508B"/>
    <w:rsid w:val="3EA97032"/>
    <w:rsid w:val="3EB22CDC"/>
    <w:rsid w:val="3ED12338"/>
    <w:rsid w:val="3EE438FE"/>
    <w:rsid w:val="3EF468CE"/>
    <w:rsid w:val="3F087986"/>
    <w:rsid w:val="3F2328C1"/>
    <w:rsid w:val="3F31781F"/>
    <w:rsid w:val="3F346049"/>
    <w:rsid w:val="3F3D4664"/>
    <w:rsid w:val="3F580B78"/>
    <w:rsid w:val="3FBC30E1"/>
    <w:rsid w:val="3FD009E6"/>
    <w:rsid w:val="3FD3067D"/>
    <w:rsid w:val="3FD4707F"/>
    <w:rsid w:val="3FDC3E1F"/>
    <w:rsid w:val="3FF9A1B7"/>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3811B4E"/>
    <w:rsid w:val="44256103"/>
    <w:rsid w:val="444923EA"/>
    <w:rsid w:val="445E5EFA"/>
    <w:rsid w:val="445F1218"/>
    <w:rsid w:val="44993F4E"/>
    <w:rsid w:val="44F72146"/>
    <w:rsid w:val="45276590"/>
    <w:rsid w:val="452B2CE7"/>
    <w:rsid w:val="459F5DC5"/>
    <w:rsid w:val="45A9165E"/>
    <w:rsid w:val="45C327BF"/>
    <w:rsid w:val="45DB5022"/>
    <w:rsid w:val="45DE6545"/>
    <w:rsid w:val="45F4468E"/>
    <w:rsid w:val="4634401A"/>
    <w:rsid w:val="46352992"/>
    <w:rsid w:val="467F7F60"/>
    <w:rsid w:val="469D497C"/>
    <w:rsid w:val="46C07C6D"/>
    <w:rsid w:val="46D46FCB"/>
    <w:rsid w:val="46DF7D83"/>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728D9"/>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79AD5"/>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9E790"/>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44356A"/>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ED550F"/>
    <w:rsid w:val="5CFF4E17"/>
    <w:rsid w:val="5D1237AB"/>
    <w:rsid w:val="5D442416"/>
    <w:rsid w:val="5D5B7524"/>
    <w:rsid w:val="5D6A64B0"/>
    <w:rsid w:val="5D731173"/>
    <w:rsid w:val="5D77592D"/>
    <w:rsid w:val="5DB61076"/>
    <w:rsid w:val="5DB96EBE"/>
    <w:rsid w:val="5DFA426F"/>
    <w:rsid w:val="5E60221A"/>
    <w:rsid w:val="5E852B06"/>
    <w:rsid w:val="5EBB0773"/>
    <w:rsid w:val="5EC9424F"/>
    <w:rsid w:val="5ECF239E"/>
    <w:rsid w:val="5F3F6EB7"/>
    <w:rsid w:val="5F595787"/>
    <w:rsid w:val="5F8D1C46"/>
    <w:rsid w:val="5FBD03D0"/>
    <w:rsid w:val="5FE50B69"/>
    <w:rsid w:val="601B4866"/>
    <w:rsid w:val="60303D05"/>
    <w:rsid w:val="60386110"/>
    <w:rsid w:val="606977B6"/>
    <w:rsid w:val="60B75222"/>
    <w:rsid w:val="60F63558"/>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00C9"/>
    <w:rsid w:val="65342BA2"/>
    <w:rsid w:val="658A3C2E"/>
    <w:rsid w:val="65BE0B5B"/>
    <w:rsid w:val="65EE1625"/>
    <w:rsid w:val="667B70FF"/>
    <w:rsid w:val="66815ECF"/>
    <w:rsid w:val="668D4153"/>
    <w:rsid w:val="66A82973"/>
    <w:rsid w:val="66E83943"/>
    <w:rsid w:val="672E0D6A"/>
    <w:rsid w:val="677F638E"/>
    <w:rsid w:val="67C1331A"/>
    <w:rsid w:val="67F973CE"/>
    <w:rsid w:val="67FDC8C6"/>
    <w:rsid w:val="6808097F"/>
    <w:rsid w:val="686076FC"/>
    <w:rsid w:val="68E479A1"/>
    <w:rsid w:val="6A0431D3"/>
    <w:rsid w:val="6A7C3B1B"/>
    <w:rsid w:val="6A9153AF"/>
    <w:rsid w:val="6A9A5399"/>
    <w:rsid w:val="6B3F3AAD"/>
    <w:rsid w:val="6B891093"/>
    <w:rsid w:val="6BA55CDC"/>
    <w:rsid w:val="6BC177C6"/>
    <w:rsid w:val="6BC37DD4"/>
    <w:rsid w:val="6C021C08"/>
    <w:rsid w:val="6C0A466E"/>
    <w:rsid w:val="6C1948F8"/>
    <w:rsid w:val="6C4D6808"/>
    <w:rsid w:val="6C540C52"/>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B92AB9"/>
    <w:rsid w:val="6EC648DD"/>
    <w:rsid w:val="6EE34167"/>
    <w:rsid w:val="6EEF0E38"/>
    <w:rsid w:val="6F0C63B7"/>
    <w:rsid w:val="6F345206"/>
    <w:rsid w:val="6F941165"/>
    <w:rsid w:val="6F9D2D94"/>
    <w:rsid w:val="6FBAA387"/>
    <w:rsid w:val="6FBC2D32"/>
    <w:rsid w:val="6FF78975"/>
    <w:rsid w:val="70007B47"/>
    <w:rsid w:val="702F1D23"/>
    <w:rsid w:val="705342C1"/>
    <w:rsid w:val="708D3892"/>
    <w:rsid w:val="70A8641D"/>
    <w:rsid w:val="70B75CF8"/>
    <w:rsid w:val="70C079DE"/>
    <w:rsid w:val="712573D2"/>
    <w:rsid w:val="7137EE6D"/>
    <w:rsid w:val="7155010D"/>
    <w:rsid w:val="715C4E8A"/>
    <w:rsid w:val="717F152D"/>
    <w:rsid w:val="71D07EE4"/>
    <w:rsid w:val="720F3D8F"/>
    <w:rsid w:val="72A75458"/>
    <w:rsid w:val="72D92721"/>
    <w:rsid w:val="72DB435C"/>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8D0115"/>
    <w:rsid w:val="76A32A08"/>
    <w:rsid w:val="76DD66F2"/>
    <w:rsid w:val="76EC6FC3"/>
    <w:rsid w:val="770B2702"/>
    <w:rsid w:val="7718563E"/>
    <w:rsid w:val="776A3F9A"/>
    <w:rsid w:val="777FFAB4"/>
    <w:rsid w:val="77901978"/>
    <w:rsid w:val="77915027"/>
    <w:rsid w:val="779D4F4D"/>
    <w:rsid w:val="77CF1648"/>
    <w:rsid w:val="781D2C7A"/>
    <w:rsid w:val="783A56AF"/>
    <w:rsid w:val="78413BD7"/>
    <w:rsid w:val="786FF559"/>
    <w:rsid w:val="788F717D"/>
    <w:rsid w:val="78915F29"/>
    <w:rsid w:val="78A77DB4"/>
    <w:rsid w:val="78B31BDE"/>
    <w:rsid w:val="78E70DA1"/>
    <w:rsid w:val="78F21850"/>
    <w:rsid w:val="791B03AB"/>
    <w:rsid w:val="794762A8"/>
    <w:rsid w:val="794A24E8"/>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7921CC"/>
    <w:rsid w:val="7EFFFA7B"/>
    <w:rsid w:val="7F7B201B"/>
    <w:rsid w:val="7FBFB775"/>
    <w:rsid w:val="7FC14E2C"/>
    <w:rsid w:val="7FCBF964"/>
    <w:rsid w:val="7FCDD953"/>
    <w:rsid w:val="829A3DC5"/>
    <w:rsid w:val="97BB0679"/>
    <w:rsid w:val="9D7C8724"/>
    <w:rsid w:val="9F6F6015"/>
    <w:rsid w:val="A3DF4368"/>
    <w:rsid w:val="A7FBAB79"/>
    <w:rsid w:val="ADDB2FC3"/>
    <w:rsid w:val="AFFB0EC6"/>
    <w:rsid w:val="AFFF5DAC"/>
    <w:rsid w:val="B1CB1198"/>
    <w:rsid w:val="B77E67D5"/>
    <w:rsid w:val="B7B3B1C3"/>
    <w:rsid w:val="BF6FC944"/>
    <w:rsid w:val="C0FEBBEF"/>
    <w:rsid w:val="C7DB93C8"/>
    <w:rsid w:val="D5FD9041"/>
    <w:rsid w:val="D9B74E6D"/>
    <w:rsid w:val="DCFD7FA6"/>
    <w:rsid w:val="DD7E7DC7"/>
    <w:rsid w:val="DEA63388"/>
    <w:rsid w:val="DEF5E07B"/>
    <w:rsid w:val="DF79EF0E"/>
    <w:rsid w:val="DFDE3E2D"/>
    <w:rsid w:val="DFFD4394"/>
    <w:rsid w:val="EEBFA2CB"/>
    <w:rsid w:val="EFEEB9E2"/>
    <w:rsid w:val="EFFFC4FD"/>
    <w:rsid w:val="F5DBA8FA"/>
    <w:rsid w:val="F7DD8A87"/>
    <w:rsid w:val="F7F3FD62"/>
    <w:rsid w:val="F997092E"/>
    <w:rsid w:val="FE7B484E"/>
    <w:rsid w:val="FF7FB0F9"/>
    <w:rsid w:val="FF89053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4"/>
    <w:qFormat/>
    <w:uiPriority w:val="1"/>
    <w:rPr>
      <w:rFonts w:ascii="仿宋_GB2312" w:hAnsi="仿宋_GB2312" w:eastAsia="仿宋_GB2312" w:cs="仿宋_GB2312"/>
      <w:sz w:val="32"/>
      <w:szCs w:val="32"/>
    </w:r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Body Text Indent"/>
    <w:basedOn w:val="1"/>
    <w:next w:val="6"/>
    <w:unhideWhenUsed/>
    <w:qFormat/>
    <w:uiPriority w:val="99"/>
    <w:pPr>
      <w:spacing w:after="120"/>
      <w:ind w:left="420" w:leftChars="200"/>
    </w:pPr>
  </w:style>
  <w:style w:type="paragraph" w:styleId="6">
    <w:name w:val="Body Text First Indent 2"/>
    <w:basedOn w:val="5"/>
    <w:next w:val="1"/>
    <w:unhideWhenUsed/>
    <w:qFormat/>
    <w:uiPriority w:val="99"/>
    <w:pPr>
      <w:ind w:left="0" w:leftChars="0" w:firstLine="420"/>
    </w:pPr>
    <w:rPr>
      <w:rFonts w:ascii="仿宋_GB2312" w:cs="仿宋_GB2312"/>
      <w:szCs w:val="32"/>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2"/>
    <w:next w:val="2"/>
    <w:link w:val="19"/>
    <w:qFormat/>
    <w:uiPriority w:val="0"/>
    <w:rPr>
      <w:b/>
      <w:bCs/>
    </w:r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0"/>
    <w:rPr>
      <w:kern w:val="2"/>
      <w:sz w:val="18"/>
      <w:szCs w:val="18"/>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批注文字 字符"/>
    <w:basedOn w:val="12"/>
    <w:link w:val="2"/>
    <w:qFormat/>
    <w:uiPriority w:val="0"/>
    <w:rPr>
      <w:kern w:val="2"/>
      <w:sz w:val="21"/>
      <w:szCs w:val="24"/>
    </w:rPr>
  </w:style>
  <w:style w:type="character" w:customStyle="1" w:styleId="19">
    <w:name w:val="批注主题 字符"/>
    <w:basedOn w:val="18"/>
    <w:link w:val="10"/>
    <w:qFormat/>
    <w:uiPriority w:val="0"/>
    <w:rPr>
      <w:b/>
      <w:bCs/>
      <w:kern w:val="2"/>
      <w:sz w:val="21"/>
      <w:szCs w:val="24"/>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266</Words>
  <Characters>1520</Characters>
  <Lines>12</Lines>
  <Paragraphs>3</Paragraphs>
  <TotalTime>0</TotalTime>
  <ScaleCrop>false</ScaleCrop>
  <LinksUpToDate>false</LinksUpToDate>
  <CharactersWithSpaces>1783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2019-08-18T22:54:00Z</dcterms:created>
  <dc:creator>zkk</dc:creator>
  <cp:lastModifiedBy>BDA</cp:lastModifiedBy>
  <cp:lastPrinted>2020-03-28T19:03:00Z</cp:lastPrinted>
  <dcterms:modified xsi:type="dcterms:W3CDTF">2025-07-07T10:45:42Z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eyJoZGlkIjoiYjlkNzkwODY5M2MxZjdhY2NhMWQ4OTFiNzA2MTY3NWIiLCJ1c2VySWQiOiIzODAwODc4NTkifQ==</vt:lpwstr>
  </property>
</Properties>
</file>