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黑体" w:hAnsi="黑体" w:eastAsia="黑体" w:cs="黑体"/>
          <w:spacing w:val="15"/>
          <w:kern w:val="0"/>
          <w:sz w:val="32"/>
          <w:szCs w:val="32"/>
          <w:shd w:val="clear" w:color="auto" w:fill="FFFFFF"/>
        </w:rPr>
      </w:pPr>
      <w:bookmarkStart w:id="0" w:name="_GoBack"/>
      <w:bookmarkEnd w:id="0"/>
      <w:r>
        <w:rPr>
          <w:rFonts w:hint="eastAsia" w:ascii="黑体" w:hAnsi="黑体" w:eastAsia="黑体" w:cs="黑体"/>
          <w:spacing w:val="15"/>
          <w:kern w:val="0"/>
          <w:sz w:val="32"/>
          <w:szCs w:val="32"/>
          <w:shd w:val="clear" w:color="auto" w:fill="FFFFFF"/>
        </w:rPr>
        <w:t>附件1</w:t>
      </w:r>
    </w:p>
    <w:p>
      <w:pPr>
        <w:spacing w:line="560" w:lineRule="exact"/>
        <w:jc w:val="left"/>
        <w:outlineLvl w:val="0"/>
        <w:rPr>
          <w:rFonts w:hint="eastAsia" w:ascii="方正小标宋简体" w:hAnsi="方正小标宋简体" w:eastAsia="黑体" w:cs="方正小标宋简体"/>
          <w:sz w:val="44"/>
          <w:szCs w:val="44"/>
        </w:rPr>
      </w:pPr>
    </w:p>
    <w:p>
      <w:pPr>
        <w:spacing w:line="560" w:lineRule="exact"/>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2024年</w:t>
      </w:r>
      <w:r>
        <w:rPr>
          <w:rFonts w:hint="eastAsia" w:ascii="方正小标宋简体" w:hAnsi="方正小标宋简体" w:eastAsia="方正小标宋简体" w:cs="方正小标宋简体"/>
          <w:sz w:val="44"/>
          <w:szCs w:val="44"/>
          <w:highlight w:val="none"/>
        </w:rPr>
        <w:t>小微企业贷款贴息支持办事指南</w:t>
      </w: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一、政策依据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《北京经济技术开发区关于加快推动产业金融高质量发展的若干措施》（京技管发〔</w:t>
      </w:r>
      <w:r>
        <w:rPr>
          <w:rFonts w:ascii="仿宋_GB2312" w:hAnsi="仿宋_GB2312" w:eastAsia="仿宋_GB2312" w:cs="仿宋_GB2312"/>
          <w:sz w:val="32"/>
          <w:szCs w:val="32"/>
        </w:rPr>
        <w:t>2024〕33号）</w:t>
      </w:r>
      <w:r>
        <w:rPr>
          <w:rFonts w:hint="eastAsia" w:ascii="仿宋_GB2312" w:hAnsi="仿宋_GB2312" w:eastAsia="仿宋_GB2312" w:cs="仿宋_GB2312"/>
          <w:sz w:val="32"/>
          <w:szCs w:val="32"/>
        </w:rPr>
        <w:t>第四条：</w:t>
      </w:r>
      <w:r>
        <w:rPr>
          <w:rFonts w:ascii="仿宋_GB2312" w:hAnsi="仿宋_GB2312" w:eastAsia="仿宋_GB2312" w:cs="仿宋_GB2312"/>
          <w:sz w:val="32"/>
          <w:szCs w:val="32"/>
        </w:rPr>
        <w:t>推动小微企业融资环境改善</w:t>
      </w:r>
      <w:r>
        <w:rPr>
          <w:rFonts w:hint="eastAsia" w:ascii="仿宋_GB2312" w:hAnsi="仿宋_GB2312" w:eastAsia="仿宋_GB2312" w:cs="仿宋_GB2312"/>
          <w:sz w:val="32"/>
          <w:szCs w:val="32"/>
        </w:rPr>
        <w:t>。</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二、事项名称</w:t>
      </w:r>
    </w:p>
    <w:p>
      <w:pPr>
        <w:spacing w:line="560" w:lineRule="exact"/>
        <w:ind w:firstLine="640" w:firstLineChars="200"/>
        <w:outlineLvl w:val="0"/>
        <w:rPr>
          <w:rFonts w:hint="eastAsia" w:ascii="黑体" w:hAnsi="黑体" w:eastAsia="黑体" w:cs="黑体"/>
          <w:bCs/>
          <w:color w:val="000000"/>
          <w:kern w:val="0"/>
          <w:sz w:val="32"/>
          <w:szCs w:val="32"/>
          <w:highlight w:val="none"/>
        </w:rPr>
      </w:pP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rPr>
        <w:t>小微企业贷款贴息支持</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三、支持条件</w:t>
      </w:r>
    </w:p>
    <w:p>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（一）企业为小微企业，且具有独立法人资格，实行独立核算；按照</w:t>
      </w:r>
      <w:r>
        <w:rPr>
          <w:rFonts w:ascii="仿宋_GB2312" w:hAnsi="黑体" w:eastAsia="仿宋_GB2312"/>
          <w:sz w:val="32"/>
          <w:szCs w:val="32"/>
        </w:rPr>
        <w:t>国家统计局《统计上大中小微型企业划分办法（2017）》</w:t>
      </w:r>
      <w:r>
        <w:rPr>
          <w:rFonts w:hint="eastAsia" w:ascii="仿宋_GB2312" w:hAnsi="黑体" w:eastAsia="仿宋_GB2312"/>
          <w:sz w:val="32"/>
          <w:szCs w:val="32"/>
        </w:rPr>
        <w:t>标准，以2</w:t>
      </w:r>
      <w:r>
        <w:rPr>
          <w:rFonts w:ascii="仿宋_GB2312" w:hAnsi="黑体" w:eastAsia="仿宋_GB2312"/>
          <w:sz w:val="32"/>
          <w:szCs w:val="32"/>
        </w:rPr>
        <w:t>02</w:t>
      </w:r>
      <w:r>
        <w:rPr>
          <w:rFonts w:hint="eastAsia" w:ascii="仿宋_GB2312" w:hAnsi="黑体" w:eastAsia="仿宋_GB2312"/>
          <w:sz w:val="32"/>
          <w:szCs w:val="32"/>
        </w:rPr>
        <w:t>4年1</w:t>
      </w:r>
      <w:r>
        <w:rPr>
          <w:rFonts w:ascii="仿宋_GB2312" w:hAnsi="黑体" w:eastAsia="仿宋_GB2312"/>
          <w:sz w:val="32"/>
          <w:szCs w:val="32"/>
        </w:rPr>
        <w:t>2</w:t>
      </w:r>
      <w:r>
        <w:rPr>
          <w:rFonts w:hint="eastAsia" w:ascii="仿宋_GB2312" w:hAnsi="黑体" w:eastAsia="仿宋_GB2312"/>
          <w:sz w:val="32"/>
          <w:szCs w:val="32"/>
        </w:rPr>
        <w:t>月3</w:t>
      </w:r>
      <w:r>
        <w:rPr>
          <w:rFonts w:ascii="仿宋_GB2312" w:hAnsi="黑体" w:eastAsia="仿宋_GB2312"/>
          <w:sz w:val="32"/>
          <w:szCs w:val="32"/>
        </w:rPr>
        <w:t>1</w:t>
      </w:r>
      <w:r>
        <w:rPr>
          <w:rFonts w:hint="eastAsia" w:ascii="仿宋_GB2312" w:hAnsi="黑体" w:eastAsia="仿宋_GB2312"/>
          <w:sz w:val="32"/>
          <w:szCs w:val="32"/>
        </w:rPr>
        <w:t>日企业经营数据为判断标准。</w:t>
      </w:r>
      <w:r>
        <w:rPr>
          <w:rFonts w:ascii="仿宋_GB2312" w:hAnsi="楷体" w:eastAsia="仿宋_GB2312" w:cs="仿宋_GB2312"/>
          <w:sz w:val="32"/>
          <w:szCs w:val="32"/>
        </w:rPr>
        <w:t>北京市“专精特新”、国家级专精特新“小巨人”</w:t>
      </w:r>
      <w:r>
        <w:rPr>
          <w:rFonts w:hint="eastAsia" w:ascii="仿宋_GB2312" w:hAnsi="黑体" w:eastAsia="仿宋_GB2312"/>
          <w:sz w:val="32"/>
          <w:szCs w:val="32"/>
        </w:rPr>
        <w:t>，以贷款发放时点时的资质为准。</w:t>
      </w:r>
    </w:p>
    <w:p>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（二）企业能够按时清偿贷款利息，借款主体发生期中欠息的，逾期部分利息不予贴息。</w:t>
      </w:r>
    </w:p>
    <w:p>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（三）本政策支持企业需在经开区实际经营；近三年无重大行政处罚记录和刑事犯罪记录，未列入严重违法失信主体名单。</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仿宋_GB2312" w:hAnsi="黑体" w:eastAsia="仿宋_GB2312"/>
          <w:sz w:val="32"/>
          <w:szCs w:val="32"/>
        </w:rPr>
        <w:t>（四）企业从事的行业未</w:t>
      </w:r>
      <w:r>
        <w:rPr>
          <w:rFonts w:hint="eastAsia" w:ascii="仿宋_GB2312" w:hAnsi="仿宋" w:eastAsia="仿宋_GB2312"/>
          <w:sz w:val="32"/>
          <w:szCs w:val="32"/>
        </w:rPr>
        <w:t>列入《北京市新增产业的禁止和限制目录（2022年版）》禁止类和限制类范围的行业。</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pStyle w:val="18"/>
        <w:ind w:firstLine="640"/>
        <w:rPr>
          <w:rFonts w:hint="eastAsia" w:ascii="仿宋_GB2312" w:hAnsi="楷体" w:eastAsia="仿宋_GB2312" w:cs="仿宋_GB2312"/>
          <w:sz w:val="32"/>
          <w:szCs w:val="32"/>
          <w:highlight w:val="yellow"/>
        </w:rPr>
      </w:pPr>
      <w:r>
        <w:rPr>
          <w:rFonts w:hint="eastAsia" w:ascii="仿宋_GB2312" w:hAnsi="楷体" w:eastAsia="仿宋_GB2312" w:cs="仿宋_GB2312"/>
          <w:sz w:val="32"/>
          <w:szCs w:val="32"/>
        </w:rPr>
        <w:t>对获得企业贷款的小微企业，按照企业当年实际支付利息的</w:t>
      </w:r>
      <w:r>
        <w:rPr>
          <w:rFonts w:ascii="仿宋_GB2312" w:hAnsi="楷体" w:eastAsia="仿宋_GB2312" w:cs="仿宋_GB2312"/>
          <w:sz w:val="32"/>
          <w:szCs w:val="32"/>
        </w:rPr>
        <w:t>50%予以贴息支持，每年单户企业贴息支持上限为25万元；认定为北京市“专精特新”、国家级专精特新“小巨人”的小微企业，按照企业当年实际支付利息的50%予以贴息支持，每年单户企业贴息支持上限分别为40万元、50万元。对获得北京市首贷贴息政策支持的企业，根据市级支持额度，按照1:1的比例给予资金支持，单个企业最高支持20万元。</w:t>
      </w:r>
      <w:r>
        <w:rPr>
          <w:rFonts w:hint="eastAsia" w:ascii="仿宋_GB2312" w:hAnsi="楷体" w:eastAsia="仿宋_GB2312" w:cs="仿宋_GB2312"/>
          <w:sz w:val="32"/>
          <w:szCs w:val="32"/>
        </w:rPr>
        <w:t>本条措施就高不重复享受。</w:t>
      </w:r>
    </w:p>
    <w:p>
      <w:pPr>
        <w:pStyle w:val="18"/>
        <w:ind w:firstLine="640"/>
        <w:rPr>
          <w:rFonts w:hint="eastAsia" w:ascii="仿宋_GB2312" w:hAnsi="楷体" w:eastAsia="仿宋_GB2312" w:cs="仿宋_GB2312"/>
          <w:sz w:val="32"/>
          <w:szCs w:val="32"/>
        </w:rPr>
      </w:pPr>
      <w:r>
        <w:rPr>
          <w:rFonts w:hint="eastAsia" w:ascii="仿宋_GB2312" w:hAnsi="楷体" w:eastAsia="仿宋_GB2312" w:cs="仿宋_GB2312"/>
          <w:sz w:val="32"/>
          <w:szCs w:val="32"/>
        </w:rPr>
        <w:t>支持金额计算基数以银行贷款结息扣款回单为准，支持金额以万元为单位，保留两位小数，不足百元部分舍去。</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企业无需提交申报材料。</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六、办事流程</w:t>
      </w:r>
    </w:p>
    <w:p>
      <w:pPr>
        <w:spacing w:line="560" w:lineRule="exact"/>
        <w:ind w:firstLine="642" w:firstLineChars="200"/>
        <w:rPr>
          <w:rFonts w:hint="eastAsia" w:eastAsia="仿宋_GB2312" w:cs="仿宋_GB2312"/>
          <w:sz w:val="32"/>
          <w:szCs w:val="32"/>
        </w:rPr>
      </w:pPr>
      <w:r>
        <w:rPr>
          <w:rFonts w:hint="eastAsia" w:eastAsia="仿宋_GB2312" w:cs="仿宋_GB2312"/>
          <w:b/>
          <w:bCs/>
          <w:sz w:val="32"/>
          <w:szCs w:val="32"/>
        </w:rPr>
        <w:t>（一）收集支持项目清单：</w:t>
      </w:r>
      <w:r>
        <w:rPr>
          <w:rFonts w:hint="eastAsia" w:eastAsia="仿宋_GB2312" w:cs="仿宋_GB2312"/>
          <w:sz w:val="32"/>
          <w:szCs w:val="32"/>
        </w:rPr>
        <w:t>经开区商务金融局依据支持内容及标准，</w:t>
      </w:r>
      <w:r>
        <w:rPr>
          <w:rFonts w:hint="eastAsia" w:eastAsia="仿宋_GB2312" w:cs="仿宋_GB2312"/>
          <w:sz w:val="32"/>
          <w:szCs w:val="32"/>
          <w:lang w:val="en-US" w:eastAsia="zh-CN"/>
        </w:rPr>
        <w:t>结合银行贷款信息</w:t>
      </w:r>
      <w:r>
        <w:rPr>
          <w:rFonts w:hint="eastAsia" w:eastAsia="仿宋_GB2312" w:cs="仿宋_GB2312"/>
          <w:sz w:val="32"/>
          <w:szCs w:val="32"/>
        </w:rPr>
        <w:t>，形成初步企业清单。</w:t>
      </w:r>
    </w:p>
    <w:p>
      <w:pPr>
        <w:spacing w:line="560" w:lineRule="exact"/>
        <w:ind w:firstLine="642" w:firstLineChars="200"/>
        <w:rPr>
          <w:rFonts w:hint="eastAsia" w:eastAsia="仿宋_GB2312" w:cs="仿宋_GB2312"/>
          <w:sz w:val="32"/>
          <w:szCs w:val="32"/>
        </w:rPr>
      </w:pPr>
      <w:r>
        <w:rPr>
          <w:rFonts w:hint="eastAsia" w:eastAsia="仿宋_GB2312" w:cs="仿宋_GB2312"/>
          <w:b/>
          <w:bCs/>
          <w:sz w:val="32"/>
          <w:szCs w:val="32"/>
        </w:rPr>
        <w:t>（二）政策符合性审查：</w:t>
      </w:r>
      <w:r>
        <w:rPr>
          <w:rFonts w:hint="eastAsia" w:eastAsia="仿宋_GB2312" w:cs="仿宋_GB2312"/>
          <w:sz w:val="32"/>
          <w:szCs w:val="32"/>
        </w:rPr>
        <w:t>经开区商务金融局会同相关主管部门，根据措施要求以及经开区管委会政策兑现相关规定，对清单中的企业进行审查。</w:t>
      </w:r>
    </w:p>
    <w:p>
      <w:pPr>
        <w:spacing w:line="560" w:lineRule="exact"/>
        <w:ind w:firstLine="642" w:firstLineChars="200"/>
        <w:rPr>
          <w:rFonts w:hint="eastAsia" w:eastAsia="仿宋_GB2312" w:cs="仿宋_GB2312"/>
          <w:sz w:val="32"/>
          <w:szCs w:val="32"/>
        </w:rPr>
      </w:pPr>
      <w:r>
        <w:rPr>
          <w:rFonts w:hint="eastAsia" w:eastAsia="仿宋_GB2312" w:cs="仿宋_GB2312"/>
          <w:b/>
          <w:bCs/>
          <w:sz w:val="32"/>
          <w:szCs w:val="32"/>
        </w:rPr>
        <w:t>（三）确定支持结果：</w:t>
      </w:r>
      <w:r>
        <w:rPr>
          <w:rFonts w:hint="eastAsia" w:ascii="仿宋_GB2312" w:hAnsi="仿宋_GB2312" w:eastAsia="仿宋_GB2312" w:cs="仿宋_GB2312"/>
          <w:color w:val="000000"/>
          <w:sz w:val="32"/>
          <w:szCs w:val="32"/>
        </w:rPr>
        <w:t>经开区商务金融局对审核通过的申报主体拟定兑现扶持奖励金额。</w:t>
      </w:r>
    </w:p>
    <w:p>
      <w:pPr>
        <w:spacing w:line="560" w:lineRule="exact"/>
        <w:ind w:firstLine="642" w:firstLineChars="200"/>
        <w:rPr>
          <w:rFonts w:hint="eastAsia" w:eastAsia="仿宋_GB2312" w:cs="仿宋_GB2312"/>
          <w:sz w:val="32"/>
          <w:szCs w:val="32"/>
        </w:rPr>
      </w:pPr>
      <w:r>
        <w:rPr>
          <w:rFonts w:hint="eastAsia" w:eastAsia="仿宋_GB2312" w:cs="仿宋_GB2312"/>
          <w:b/>
          <w:bCs/>
          <w:sz w:val="32"/>
          <w:szCs w:val="32"/>
        </w:rPr>
        <w:t>（四）公示：</w:t>
      </w:r>
      <w:r>
        <w:rPr>
          <w:rFonts w:hint="eastAsia" w:eastAsia="仿宋_GB2312" w:cs="仿宋_GB2312"/>
          <w:sz w:val="32"/>
          <w:szCs w:val="32"/>
        </w:rPr>
        <w:t>经开区商务金融局通过政策兑现综合服务平台对审核通过的支持主体进行公示。</w:t>
      </w:r>
    </w:p>
    <w:p>
      <w:pPr>
        <w:spacing w:line="560" w:lineRule="exact"/>
        <w:ind w:firstLine="642" w:firstLineChars="200"/>
        <w:rPr>
          <w:rFonts w:hint="eastAsia" w:eastAsia="仿宋_GB2312" w:cs="仿宋_GB2312"/>
          <w:sz w:val="32"/>
          <w:szCs w:val="32"/>
        </w:rPr>
      </w:pPr>
      <w:r>
        <w:rPr>
          <w:rFonts w:hint="eastAsia" w:eastAsia="仿宋_GB2312" w:cs="仿宋_GB2312"/>
          <w:b/>
          <w:bCs/>
          <w:sz w:val="32"/>
          <w:szCs w:val="32"/>
        </w:rPr>
        <w:t>（五）确认账户信息：</w:t>
      </w:r>
      <w:r>
        <w:rPr>
          <w:rFonts w:hint="eastAsia" w:ascii="仿宋_GB2312" w:hAnsi="仿宋_GB2312" w:eastAsia="仿宋_GB2312" w:cs="仿宋_GB2312"/>
          <w:color w:val="000000"/>
          <w:sz w:val="32"/>
          <w:szCs w:val="32"/>
        </w:rPr>
        <w:t>经公示无异议的</w:t>
      </w:r>
      <w:r>
        <w:rPr>
          <w:rFonts w:hint="eastAsia" w:eastAsia="仿宋_GB2312" w:cs="仿宋_GB2312"/>
          <w:sz w:val="32"/>
          <w:szCs w:val="32"/>
        </w:rPr>
        <w:t>项目，通知企业上传承诺书及银行账户信息的盖章彩色扫描件。</w:t>
      </w:r>
    </w:p>
    <w:p>
      <w:pPr>
        <w:pStyle w:val="8"/>
        <w:shd w:val="clear" w:color="auto" w:fill="FFFFFF"/>
        <w:spacing w:beforeAutospacing="0" w:afterAutospacing="0" w:line="560" w:lineRule="exact"/>
        <w:ind w:firstLine="642" w:firstLineChars="200"/>
        <w:rPr>
          <w:rFonts w:eastAsia="仿宋_GB2312" w:cs="仿宋_GB2312"/>
          <w:szCs w:val="32"/>
        </w:rPr>
      </w:pPr>
      <w:r>
        <w:rPr>
          <w:rFonts w:hint="eastAsia" w:ascii="仿宋_GB2312" w:hAnsi="仿宋_GB2312" w:eastAsia="仿宋_GB2312" w:cs="仿宋_GB2312"/>
          <w:b/>
          <w:bCs/>
          <w:color w:val="000000"/>
          <w:szCs w:val="32"/>
        </w:rPr>
        <w:t>（六）资金拨付</w:t>
      </w:r>
      <w:r>
        <w:rPr>
          <w:rFonts w:hint="eastAsia" w:ascii="仿宋_GB2312" w:hAnsi="仿宋_GB2312" w:eastAsia="仿宋_GB2312" w:cs="仿宋_GB2312"/>
          <w:color w:val="000000"/>
          <w:szCs w:val="32"/>
        </w:rPr>
        <w:t>：确认无误的，完成资金拨付。</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pPr>
        <w:keepNext w:val="0"/>
        <w:keepLines w:val="0"/>
        <w:widowControl w:val="0"/>
        <w:suppressLineNumbers w:val="0"/>
        <w:spacing w:before="0" w:beforeAutospacing="0" w:after="0" w:afterAutospacing="0" w:line="560" w:lineRule="exact"/>
        <w:ind w:left="0" w:right="0" w:firstLine="640" w:firstLineChars="200"/>
        <w:jc w:val="both"/>
        <w:outlineLvl w:val="0"/>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八、联系方式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等线" w:hAnsi="等线" w:eastAsia="仿宋_GB2312" w:cs="Times New Roman"/>
          <w:kern w:val="2"/>
          <w:sz w:val="32"/>
          <w:szCs w:val="32"/>
        </w:rPr>
      </w:pPr>
      <w:r>
        <w:rPr>
          <w:rFonts w:hint="eastAsia" w:ascii="仿宋_GB2312" w:hAnsi="等线" w:eastAsia="仿宋_GB2312" w:cs="仿宋_GB2312"/>
          <w:kern w:val="2"/>
          <w:sz w:val="32"/>
          <w:szCs w:val="32"/>
          <w:lang w:val="en-US" w:eastAsia="zh-CN" w:bidi="ar"/>
        </w:rPr>
        <w:t>经开区商务金融局，联系人：李书豪、张炯，联系电话：010-67886597；010-67876317，工作日上午9:00—12:00，下午2:00—6:00。</w:t>
      </w:r>
    </w:p>
    <w:p>
      <w:pPr>
        <w:keepNext w:val="0"/>
        <w:keepLines w:val="0"/>
        <w:widowControl w:val="0"/>
        <w:suppressLineNumbers w:val="0"/>
        <w:spacing w:before="0" w:beforeAutospacing="0" w:after="0" w:afterAutospacing="0" w:line="560" w:lineRule="exact"/>
        <w:ind w:left="0" w:right="0" w:firstLine="640" w:firstLineChars="200"/>
        <w:jc w:val="both"/>
        <w:outlineLvl w:val="0"/>
        <w:rPr>
          <w:rFonts w:hint="eastAsia" w:ascii="仿宋_GB2312" w:eastAsia="仿宋_GB2312" w:cs="仿宋_GB2312"/>
          <w:kern w:val="2"/>
          <w:sz w:val="32"/>
          <w:szCs w:val="32"/>
        </w:rPr>
      </w:pPr>
      <w:r>
        <w:rPr>
          <w:rFonts w:hint="eastAsia" w:ascii="黑体" w:hAnsi="宋体" w:eastAsia="黑体" w:cs="黑体"/>
          <w:kern w:val="2"/>
          <w:sz w:val="32"/>
          <w:szCs w:val="32"/>
          <w:lang w:val="en-US" w:eastAsia="zh-CN" w:bidi="ar"/>
        </w:rPr>
        <w:t>九、收费标准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bidi="ar"/>
        </w:rPr>
        <w:t>不收费</w:t>
      </w:r>
    </w:p>
    <w:p>
      <w:pPr>
        <w:keepNext w:val="0"/>
        <w:keepLines w:val="0"/>
        <w:widowControl w:val="0"/>
        <w:suppressLineNumbers w:val="0"/>
        <w:spacing w:before="0" w:beforeAutospacing="0" w:after="0" w:afterAutospacing="0" w:line="560" w:lineRule="exact"/>
        <w:ind w:left="0" w:right="0" w:firstLine="640" w:firstLineChars="200"/>
        <w:jc w:val="both"/>
        <w:outlineLvl w:val="0"/>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十、特别说明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bidi="ar"/>
        </w:rPr>
        <w:t>无</w:t>
      </w:r>
    </w:p>
    <w:p>
      <w:pPr>
        <w:spacing w:line="560" w:lineRule="exact"/>
        <w:ind w:firstLine="0" w:firstLineChars="0"/>
        <w:jc w:val="left"/>
        <w:rPr>
          <w:rFonts w:hint="eastAsia" w:ascii="仿宋_GB2312" w:eastAsia="仿宋_GB2312"/>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OWIwYjkxNmI4OWUzOTFiNWQ5MWNkZDEzOWZmZjIifQ=="/>
  </w:docVars>
  <w:rsids>
    <w:rsidRoot w:val="008906F4"/>
    <w:rsid w:val="00001E3F"/>
    <w:rsid w:val="000052C4"/>
    <w:rsid w:val="00024950"/>
    <w:rsid w:val="00051D33"/>
    <w:rsid w:val="00074F9C"/>
    <w:rsid w:val="0008509A"/>
    <w:rsid w:val="00087005"/>
    <w:rsid w:val="00097BE2"/>
    <w:rsid w:val="00105CCF"/>
    <w:rsid w:val="001240CA"/>
    <w:rsid w:val="00141348"/>
    <w:rsid w:val="00152F00"/>
    <w:rsid w:val="00170DDD"/>
    <w:rsid w:val="00171B67"/>
    <w:rsid w:val="00177097"/>
    <w:rsid w:val="00191ADE"/>
    <w:rsid w:val="001A1C31"/>
    <w:rsid w:val="00200271"/>
    <w:rsid w:val="00205089"/>
    <w:rsid w:val="00213FBC"/>
    <w:rsid w:val="00242834"/>
    <w:rsid w:val="002804C5"/>
    <w:rsid w:val="002857AF"/>
    <w:rsid w:val="00294456"/>
    <w:rsid w:val="002B0D37"/>
    <w:rsid w:val="002C4863"/>
    <w:rsid w:val="002D5036"/>
    <w:rsid w:val="002D7957"/>
    <w:rsid w:val="002E3B92"/>
    <w:rsid w:val="002E457F"/>
    <w:rsid w:val="00300C55"/>
    <w:rsid w:val="00314405"/>
    <w:rsid w:val="003375CA"/>
    <w:rsid w:val="00377A51"/>
    <w:rsid w:val="003E5300"/>
    <w:rsid w:val="003F468C"/>
    <w:rsid w:val="003F5352"/>
    <w:rsid w:val="00407B36"/>
    <w:rsid w:val="00426C93"/>
    <w:rsid w:val="00434268"/>
    <w:rsid w:val="00440E02"/>
    <w:rsid w:val="00445B7F"/>
    <w:rsid w:val="0046579E"/>
    <w:rsid w:val="0047052F"/>
    <w:rsid w:val="00484469"/>
    <w:rsid w:val="004B2E90"/>
    <w:rsid w:val="004B3159"/>
    <w:rsid w:val="004B69F0"/>
    <w:rsid w:val="004C4B5A"/>
    <w:rsid w:val="00503393"/>
    <w:rsid w:val="0053084E"/>
    <w:rsid w:val="00565D37"/>
    <w:rsid w:val="00570B21"/>
    <w:rsid w:val="005800CC"/>
    <w:rsid w:val="005A4FDB"/>
    <w:rsid w:val="005B1189"/>
    <w:rsid w:val="005B29DC"/>
    <w:rsid w:val="005B7C6E"/>
    <w:rsid w:val="005C0EA1"/>
    <w:rsid w:val="005C5B29"/>
    <w:rsid w:val="005D52E9"/>
    <w:rsid w:val="005E3FA1"/>
    <w:rsid w:val="005E457D"/>
    <w:rsid w:val="005F2FDB"/>
    <w:rsid w:val="005F5364"/>
    <w:rsid w:val="00617507"/>
    <w:rsid w:val="00623E16"/>
    <w:rsid w:val="00636FDE"/>
    <w:rsid w:val="006915CF"/>
    <w:rsid w:val="006A757A"/>
    <w:rsid w:val="006C347F"/>
    <w:rsid w:val="006D096C"/>
    <w:rsid w:val="0070468B"/>
    <w:rsid w:val="007058B2"/>
    <w:rsid w:val="00716641"/>
    <w:rsid w:val="007522A9"/>
    <w:rsid w:val="007716E8"/>
    <w:rsid w:val="00795588"/>
    <w:rsid w:val="0079648A"/>
    <w:rsid w:val="007D1066"/>
    <w:rsid w:val="007D264C"/>
    <w:rsid w:val="007D31CE"/>
    <w:rsid w:val="007F138D"/>
    <w:rsid w:val="0080168D"/>
    <w:rsid w:val="0081195C"/>
    <w:rsid w:val="00814853"/>
    <w:rsid w:val="008166C4"/>
    <w:rsid w:val="00817509"/>
    <w:rsid w:val="00851271"/>
    <w:rsid w:val="00863C2B"/>
    <w:rsid w:val="008744F4"/>
    <w:rsid w:val="008871BB"/>
    <w:rsid w:val="008906F4"/>
    <w:rsid w:val="00891E37"/>
    <w:rsid w:val="008A0FE4"/>
    <w:rsid w:val="008B709A"/>
    <w:rsid w:val="008D068F"/>
    <w:rsid w:val="008D3858"/>
    <w:rsid w:val="008E6F4D"/>
    <w:rsid w:val="008E73BF"/>
    <w:rsid w:val="00922F66"/>
    <w:rsid w:val="00941891"/>
    <w:rsid w:val="00943AFF"/>
    <w:rsid w:val="00956F0D"/>
    <w:rsid w:val="00957CE9"/>
    <w:rsid w:val="009652E6"/>
    <w:rsid w:val="009815F4"/>
    <w:rsid w:val="009963A5"/>
    <w:rsid w:val="009C470F"/>
    <w:rsid w:val="00A1040E"/>
    <w:rsid w:val="00A17682"/>
    <w:rsid w:val="00A232F3"/>
    <w:rsid w:val="00A3775E"/>
    <w:rsid w:val="00A5123D"/>
    <w:rsid w:val="00A5769A"/>
    <w:rsid w:val="00A646CA"/>
    <w:rsid w:val="00A7485D"/>
    <w:rsid w:val="00A93E9C"/>
    <w:rsid w:val="00B50495"/>
    <w:rsid w:val="00B65953"/>
    <w:rsid w:val="00BA27BD"/>
    <w:rsid w:val="00BB1C98"/>
    <w:rsid w:val="00C02078"/>
    <w:rsid w:val="00C05F20"/>
    <w:rsid w:val="00C1398D"/>
    <w:rsid w:val="00C46AB2"/>
    <w:rsid w:val="00CA535E"/>
    <w:rsid w:val="00CB345C"/>
    <w:rsid w:val="00CB4A5D"/>
    <w:rsid w:val="00CC7D6D"/>
    <w:rsid w:val="00CD14AB"/>
    <w:rsid w:val="00CD5F24"/>
    <w:rsid w:val="00CF3DBE"/>
    <w:rsid w:val="00CF719A"/>
    <w:rsid w:val="00D03D1E"/>
    <w:rsid w:val="00D121A0"/>
    <w:rsid w:val="00D441B6"/>
    <w:rsid w:val="00D47BB7"/>
    <w:rsid w:val="00D61C41"/>
    <w:rsid w:val="00D64A65"/>
    <w:rsid w:val="00D72476"/>
    <w:rsid w:val="00D75C3A"/>
    <w:rsid w:val="00DA5E4C"/>
    <w:rsid w:val="00DC5895"/>
    <w:rsid w:val="00DD0472"/>
    <w:rsid w:val="00E62D15"/>
    <w:rsid w:val="00E73734"/>
    <w:rsid w:val="00E83FDB"/>
    <w:rsid w:val="00E84723"/>
    <w:rsid w:val="00EB414F"/>
    <w:rsid w:val="00EC2425"/>
    <w:rsid w:val="00EE6A78"/>
    <w:rsid w:val="00EF658A"/>
    <w:rsid w:val="00EF7CE7"/>
    <w:rsid w:val="00F0779D"/>
    <w:rsid w:val="00F1220C"/>
    <w:rsid w:val="00F26568"/>
    <w:rsid w:val="00F3613B"/>
    <w:rsid w:val="00F53B27"/>
    <w:rsid w:val="00F60C76"/>
    <w:rsid w:val="00F66C7A"/>
    <w:rsid w:val="00F82BDF"/>
    <w:rsid w:val="00FA20B3"/>
    <w:rsid w:val="00FB08B7"/>
    <w:rsid w:val="00FB3B03"/>
    <w:rsid w:val="00FD364C"/>
    <w:rsid w:val="00FF060E"/>
    <w:rsid w:val="00FF6BBD"/>
    <w:rsid w:val="04FB51B6"/>
    <w:rsid w:val="07237896"/>
    <w:rsid w:val="077B3976"/>
    <w:rsid w:val="0B04177A"/>
    <w:rsid w:val="0BE75A4D"/>
    <w:rsid w:val="0BFF8AF0"/>
    <w:rsid w:val="0C2272F9"/>
    <w:rsid w:val="0F8C1250"/>
    <w:rsid w:val="1A7C00F1"/>
    <w:rsid w:val="1B043BA1"/>
    <w:rsid w:val="20DD137B"/>
    <w:rsid w:val="222B18C7"/>
    <w:rsid w:val="228026A7"/>
    <w:rsid w:val="2BF57C61"/>
    <w:rsid w:val="2FB69E8E"/>
    <w:rsid w:val="3D864BBD"/>
    <w:rsid w:val="3EF73899"/>
    <w:rsid w:val="3F5763DA"/>
    <w:rsid w:val="3FFC45A9"/>
    <w:rsid w:val="40AA5BEC"/>
    <w:rsid w:val="47FFF81F"/>
    <w:rsid w:val="48C77E38"/>
    <w:rsid w:val="50987566"/>
    <w:rsid w:val="537F5EDF"/>
    <w:rsid w:val="5AF78EAB"/>
    <w:rsid w:val="5AFE1DDF"/>
    <w:rsid w:val="61CF8E14"/>
    <w:rsid w:val="652A68BD"/>
    <w:rsid w:val="65A0384F"/>
    <w:rsid w:val="68082A36"/>
    <w:rsid w:val="6D7F069B"/>
    <w:rsid w:val="71B5FD2C"/>
    <w:rsid w:val="73D7975A"/>
    <w:rsid w:val="777DC561"/>
    <w:rsid w:val="78D3EE72"/>
    <w:rsid w:val="7ABE58F8"/>
    <w:rsid w:val="7BC94074"/>
    <w:rsid w:val="7DC720AD"/>
    <w:rsid w:val="7FE71797"/>
    <w:rsid w:val="8377261C"/>
    <w:rsid w:val="8B6E7736"/>
    <w:rsid w:val="9CFFB057"/>
    <w:rsid w:val="9D7FC6EB"/>
    <w:rsid w:val="BEF703B3"/>
    <w:rsid w:val="BF57E2DE"/>
    <w:rsid w:val="C3536BA3"/>
    <w:rsid w:val="D4DB376A"/>
    <w:rsid w:val="D77FFEDE"/>
    <w:rsid w:val="DBFEA893"/>
    <w:rsid w:val="DD9DFEE5"/>
    <w:rsid w:val="DEFF7CDC"/>
    <w:rsid w:val="E4CF83DF"/>
    <w:rsid w:val="E7EF9C68"/>
    <w:rsid w:val="F6BB282F"/>
    <w:rsid w:val="FBBB286F"/>
    <w:rsid w:val="FBE7DE65"/>
    <w:rsid w:val="FEFF8061"/>
    <w:rsid w:val="FFBF97A9"/>
    <w:rsid w:val="FFF6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rFonts w:eastAsia="黑体"/>
      <w:b/>
      <w:bCs/>
      <w:kern w:val="44"/>
      <w:sz w:val="32"/>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0"/>
    <w:pPr>
      <w:spacing w:after="140" w:line="276" w:lineRule="auto"/>
    </w:pPr>
    <w:rPr>
      <w:rFonts w:ascii="Calibri" w:hAnsi="Calibri" w:eastAsia="宋体" w:cs="Times New Roman"/>
      <w:szCs w:val="24"/>
    </w:rPr>
  </w:style>
  <w:style w:type="paragraph" w:styleId="5">
    <w:name w:val="annotation text"/>
    <w:basedOn w:val="1"/>
    <w:link w:val="27"/>
    <w:semiHidden/>
    <w:unhideWhenUsed/>
    <w:qFormat/>
    <w:uiPriority w:val="99"/>
    <w:pPr>
      <w:jc w:val="left"/>
    </w:pPr>
  </w:style>
  <w:style w:type="paragraph" w:styleId="6">
    <w:name w:val="footer"/>
    <w:basedOn w:val="1"/>
    <w:link w:val="17"/>
    <w:unhideWhenUsed/>
    <w:qFormat/>
    <w:uiPriority w:val="99"/>
    <w:pPr>
      <w:tabs>
        <w:tab w:val="center" w:pos="4513"/>
        <w:tab w:val="right" w:pos="902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513"/>
        <w:tab w:val="right" w:pos="9026"/>
      </w:tabs>
      <w:snapToGrid w:val="0"/>
      <w:jc w:val="center"/>
    </w:pPr>
    <w:rPr>
      <w:sz w:val="18"/>
      <w:szCs w:val="18"/>
    </w:rPr>
  </w:style>
  <w:style w:type="paragraph" w:styleId="8">
    <w:name w:val="Normal (Web)"/>
    <w:basedOn w:val="1"/>
    <w:unhideWhenUsed/>
    <w:qFormat/>
    <w:uiPriority w:val="0"/>
    <w:pPr>
      <w:spacing w:before="100" w:beforeAutospacing="1" w:after="100" w:afterAutospacing="1"/>
    </w:pPr>
    <w:rPr>
      <w:rFonts w:ascii="Times New Roman" w:hAnsi="Times New Roman" w:eastAsia="宋体" w:cs="Times New Roman"/>
      <w:sz w:val="32"/>
    </w:rPr>
  </w:style>
  <w:style w:type="paragraph" w:styleId="9">
    <w:name w:val="annotation subject"/>
    <w:basedOn w:val="5"/>
    <w:next w:val="5"/>
    <w:link w:val="28"/>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6">
    <w:name w:val="页眉 字符"/>
    <w:basedOn w:val="11"/>
    <w:link w:val="7"/>
    <w:qFormat/>
    <w:uiPriority w:val="0"/>
    <w:rPr>
      <w:sz w:val="18"/>
      <w:szCs w:val="18"/>
    </w:rPr>
  </w:style>
  <w:style w:type="character" w:customStyle="1" w:styleId="17">
    <w:name w:val="页脚 字符"/>
    <w:basedOn w:val="11"/>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font61"/>
    <w:basedOn w:val="11"/>
    <w:qFormat/>
    <w:uiPriority w:val="0"/>
    <w:rPr>
      <w:rFonts w:hint="eastAsia" w:ascii="宋体" w:hAnsi="宋体" w:eastAsia="宋体" w:cs="宋体"/>
      <w:color w:val="000000"/>
      <w:sz w:val="24"/>
      <w:szCs w:val="24"/>
      <w:u w:val="none"/>
    </w:rPr>
  </w:style>
  <w:style w:type="character" w:customStyle="1" w:styleId="21">
    <w:name w:val="font31"/>
    <w:basedOn w:val="11"/>
    <w:qFormat/>
    <w:uiPriority w:val="0"/>
    <w:rPr>
      <w:rFonts w:hint="default" w:ascii="Times New Roman" w:hAnsi="Times New Roman" w:cs="Times New Roman"/>
      <w:color w:val="000000"/>
      <w:sz w:val="24"/>
      <w:szCs w:val="24"/>
      <w:u w:val="none"/>
    </w:rPr>
  </w:style>
  <w:style w:type="character" w:customStyle="1" w:styleId="22">
    <w:name w:val="正文文本 字符"/>
    <w:basedOn w:val="11"/>
    <w:link w:val="2"/>
    <w:qFormat/>
    <w:uiPriority w:val="0"/>
    <w:rPr>
      <w:rFonts w:ascii="Calibri" w:hAnsi="Calibri" w:eastAsia="宋体" w:cs="Times New Roman"/>
      <w:szCs w:val="24"/>
    </w:rPr>
  </w:style>
  <w:style w:type="character" w:customStyle="1" w:styleId="23">
    <w:name w:val="标题 1 字符"/>
    <w:basedOn w:val="11"/>
    <w:link w:val="3"/>
    <w:qFormat/>
    <w:uiPriority w:val="9"/>
    <w:rPr>
      <w:rFonts w:eastAsia="黑体"/>
      <w:b/>
      <w:bCs/>
      <w:kern w:val="44"/>
      <w:sz w:val="32"/>
      <w:szCs w:val="44"/>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标题 2 字符"/>
    <w:basedOn w:val="11"/>
    <w:link w:val="4"/>
    <w:qFormat/>
    <w:uiPriority w:val="9"/>
    <w:rPr>
      <w:rFonts w:asciiTheme="majorHAnsi" w:hAnsiTheme="majorHAnsi" w:eastAsiaTheme="majorEastAsia" w:cstheme="majorBidi"/>
      <w:b/>
      <w:bCs/>
      <w:sz w:val="32"/>
      <w:szCs w:val="32"/>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文字 字符"/>
    <w:basedOn w:val="11"/>
    <w:link w:val="5"/>
    <w:semiHidden/>
    <w:qFormat/>
    <w:uiPriority w:val="99"/>
    <w:rPr>
      <w:kern w:val="2"/>
      <w:sz w:val="21"/>
      <w:szCs w:val="22"/>
    </w:rPr>
  </w:style>
  <w:style w:type="character" w:customStyle="1" w:styleId="28">
    <w:name w:val="批注主题 字符"/>
    <w:basedOn w:val="27"/>
    <w:link w:val="9"/>
    <w:semiHidden/>
    <w:qFormat/>
    <w:uiPriority w:val="99"/>
    <w:rPr>
      <w:b/>
      <w:bCs/>
      <w:kern w:val="2"/>
      <w:sz w:val="21"/>
      <w:szCs w:val="22"/>
    </w:rPr>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53D5D8F-F16C-4409-BD6C-607A5140478C}">
  <ds:schemaRefs/>
</ds:datastoreItem>
</file>

<file path=docProps/app.xml><?xml version="1.0" encoding="utf-8"?>
<Properties xmlns="http://schemas.openxmlformats.org/officeDocument/2006/extended-properties" xmlns:vt="http://schemas.openxmlformats.org/officeDocument/2006/docPropsVTypes">
  <Template>Normal</Template>
  <Pages>3</Pages>
  <Words>964</Words>
  <Characters>1030</Characters>
  <Lines>8</Lines>
  <Paragraphs>2</Paragraphs>
  <TotalTime>0</TotalTime>
  <ScaleCrop>false</ScaleCrop>
  <LinksUpToDate>false</LinksUpToDate>
  <CharactersWithSpaces>1030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2024-02-19T14:29:00Z</dcterms:created>
  <dc:creator>Connie Ye/CHN</dc:creator>
  <cp:lastModifiedBy>BDA</cp:lastModifiedBy>
  <cp:lastPrinted>2024-03-21T01:47:00Z</cp:lastPrinted>
  <dcterms:modified xsi:type="dcterms:W3CDTF">2025-07-01T18:38:45Z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47FADD5AE7974D1CA7467E06B236BA26_13</vt:lpwstr>
  </property>
  <property fmtid="{D5CDD505-2E9C-101B-9397-08002B2CF9AE}" pid="4" name="KSOTemplateDocerSaveRecord">
    <vt:lpwstr>eyJoZGlkIjoiOGY4ZDJkYmVjNzBjM2QzZmQzMDQ4YTRkNWNiZTI5YWEiLCJ1c2VySWQiOiIzMjQ5NjY1MzIifQ==</vt:lpwstr>
  </property>
</Properties>
</file>