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0BF1A4">
      <w:pPr>
        <w:rPr>
          <w:rFonts w:hint="eastAsia" w:ascii="方正小标宋简体" w:hAnsi="方正小标宋简体" w:eastAsia="方正小标宋简体" w:cs="方正小标宋简体"/>
          <w:sz w:val="44"/>
          <w:szCs w:val="44"/>
          <w:lang w:val="en-US" w:eastAsia="zh-CN"/>
        </w:rPr>
      </w:pPr>
      <w:bookmarkStart w:id="0" w:name="_GoBack"/>
      <w:r>
        <w:rPr>
          <w:rFonts w:hint="eastAsia" w:ascii="黑体" w:hAnsi="黑体" w:eastAsia="黑体" w:cs="黑体"/>
          <w:sz w:val="32"/>
          <w:szCs w:val="32"/>
          <w:lang w:val="en-US" w:eastAsia="zh-CN"/>
        </w:rPr>
        <w:t>附件2</w:t>
      </w:r>
    </w:p>
    <w:p w14:paraId="073AA6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p w14:paraId="572F638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关于《门头沟区技术经理人培育三年行动计划（2025-2027）》（征求意见稿）的起草说明</w:t>
      </w:r>
      <w:bookmarkEnd w:id="0"/>
    </w:p>
    <w:p w14:paraId="7FF924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lang w:val="en-US" w:eastAsia="zh-CN"/>
        </w:rPr>
      </w:pPr>
    </w:p>
    <w:p w14:paraId="302B057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一、编制情况</w:t>
      </w:r>
    </w:p>
    <w:p w14:paraId="21DCC6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eastAsia="仿宋_GB2312" w:cs="仿宋_GB2312"/>
          <w:sz w:val="32"/>
          <w:szCs w:val="32"/>
        </w:rPr>
        <w:t>为深入贯彻落实二十届三中全会关于加强技术经理人队伍建设的指示精神，积极践行《北京市促进科技成果转化条例》和《关于推动北京市技术经理人队伍建设工作方案》的各项工作要求，全面推进“科技强区”战略，充分发挥技术经理人在推动科技创新、促进成果转化、助力产业发展中的关键作用，结合门头沟区实际</w:t>
      </w:r>
      <w:r>
        <w:rPr>
          <w:rFonts w:hint="eastAsia" w:ascii="仿宋_GB2312" w:hAnsi="仿宋_GB2312" w:eastAsia="仿宋_GB2312" w:cs="仿宋_GB2312"/>
          <w:color w:val="000000"/>
          <w:sz w:val="32"/>
          <w:szCs w:val="32"/>
          <w:shd w:val="clear" w:color="auto" w:fill="FFFFFF"/>
        </w:rPr>
        <w:t>，区</w:t>
      </w:r>
      <w:r>
        <w:rPr>
          <w:rFonts w:hint="eastAsia" w:ascii="仿宋_GB2312" w:hAnsi="仿宋_GB2312" w:eastAsia="仿宋_GB2312" w:cs="仿宋_GB2312"/>
          <w:color w:val="000000"/>
          <w:sz w:val="32"/>
          <w:szCs w:val="32"/>
          <w:shd w:val="clear" w:color="auto" w:fill="FFFFFF"/>
          <w:lang w:val="en-US" w:eastAsia="zh-CN"/>
        </w:rPr>
        <w:t>科委</w:t>
      </w:r>
      <w:r>
        <w:rPr>
          <w:rFonts w:hint="eastAsia" w:ascii="仿宋_GB2312" w:hAnsi="仿宋_GB2312" w:eastAsia="仿宋_GB2312" w:cs="仿宋_GB2312"/>
          <w:color w:val="000000"/>
          <w:sz w:val="32"/>
          <w:szCs w:val="32"/>
          <w:shd w:val="clear" w:color="auto" w:fill="FFFFFF"/>
        </w:rPr>
        <w:t>起草了《门头沟区技术经理人培育三年行动计划（2025-2027）》</w:t>
      </w:r>
      <w:r>
        <w:rPr>
          <w:rFonts w:hint="eastAsia" w:ascii="仿宋_GB2312" w:hAnsi="仿宋_GB2312" w:eastAsia="仿宋_GB2312" w:cs="仿宋_GB2312"/>
          <w:color w:val="000000"/>
          <w:sz w:val="32"/>
          <w:szCs w:val="32"/>
          <w:shd w:val="clear" w:color="auto" w:fill="FFFFFF"/>
          <w:lang w:eastAsia="zh-CN"/>
        </w:rPr>
        <w:t>。</w:t>
      </w:r>
    </w:p>
    <w:p w14:paraId="5D0B0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该计划立足我区实际，深入研究其他地区的先进经验与有效措施，前期征求区委办公室、</w:t>
      </w:r>
      <w:r>
        <w:rPr>
          <w:rFonts w:hint="eastAsia" w:ascii="仿宋_GB2312" w:hAnsi="仿宋_GB2312" w:eastAsia="仿宋_GB2312" w:cs="仿宋_GB2312"/>
          <w:color w:val="000000"/>
          <w:sz w:val="32"/>
          <w:szCs w:val="32"/>
          <w:highlight w:val="none"/>
          <w:shd w:val="clear" w:color="auto" w:fill="FFFFFF"/>
          <w:lang w:val="en-US" w:eastAsia="zh-CN"/>
        </w:rPr>
        <w:t>区委组织部、</w:t>
      </w:r>
      <w:r>
        <w:rPr>
          <w:rFonts w:hint="eastAsia" w:ascii="仿宋_GB2312" w:hAnsi="仿宋_GB2312" w:eastAsia="仿宋_GB2312" w:cs="仿宋_GB2312"/>
          <w:color w:val="000000"/>
          <w:sz w:val="32"/>
          <w:szCs w:val="32"/>
          <w:shd w:val="clear" w:color="auto" w:fill="FFFFFF"/>
          <w:lang w:val="en-US" w:eastAsia="zh-CN"/>
        </w:rPr>
        <w:t>区委宣传部、区委统战部、区委政法委、区委网信办、区教委、区公安分局、区委社工部、区委编办</w:t>
      </w:r>
      <w:r>
        <w:rPr>
          <w:rFonts w:hint="eastAsia" w:ascii="仿宋_GB2312" w:hAnsi="仿宋_GB2312" w:eastAsia="仿宋_GB2312" w:cs="仿宋_GB2312"/>
          <w:color w:val="000000"/>
          <w:sz w:val="32"/>
          <w:szCs w:val="32"/>
          <w:highlight w:val="none"/>
          <w:shd w:val="clear" w:color="auto" w:fill="FFFFFF"/>
          <w:lang w:val="en-US" w:eastAsia="zh-CN"/>
        </w:rPr>
        <w:t>、区发改委、区经信局、</w:t>
      </w:r>
      <w:r>
        <w:rPr>
          <w:rFonts w:hint="eastAsia" w:ascii="仿宋_GB2312" w:hAnsi="仿宋_GB2312" w:eastAsia="仿宋_GB2312" w:cs="仿宋_GB2312"/>
          <w:color w:val="000000"/>
          <w:sz w:val="32"/>
          <w:szCs w:val="32"/>
          <w:shd w:val="clear" w:color="auto" w:fill="FFFFFF"/>
          <w:lang w:val="en-US" w:eastAsia="zh-CN"/>
        </w:rPr>
        <w:t>区民政局、区司法局、区财政局、</w:t>
      </w:r>
      <w:r>
        <w:rPr>
          <w:rFonts w:hint="eastAsia" w:ascii="仿宋_GB2312" w:hAnsi="仿宋_GB2312" w:eastAsia="仿宋_GB2312" w:cs="仿宋_GB2312"/>
          <w:color w:val="000000"/>
          <w:sz w:val="32"/>
          <w:szCs w:val="32"/>
          <w:highlight w:val="none"/>
          <w:shd w:val="clear" w:color="auto" w:fill="FFFFFF"/>
          <w:lang w:val="en-US" w:eastAsia="zh-CN"/>
        </w:rPr>
        <w:t>区人社局、</w:t>
      </w:r>
      <w:r>
        <w:rPr>
          <w:rFonts w:hint="eastAsia" w:ascii="仿宋_GB2312" w:hAnsi="仿宋_GB2312" w:eastAsia="仿宋_GB2312" w:cs="仿宋_GB2312"/>
          <w:color w:val="000000"/>
          <w:sz w:val="32"/>
          <w:szCs w:val="32"/>
          <w:shd w:val="clear" w:color="auto" w:fill="FFFFFF"/>
          <w:lang w:val="en-US" w:eastAsia="zh-CN"/>
        </w:rPr>
        <w:t>区规自分局、区住建委、区农业农村局、区商务局、区文旅局、区卫建委、区市场局、区政府办、区国资委、区体育局、</w:t>
      </w:r>
      <w:r>
        <w:rPr>
          <w:rFonts w:hint="eastAsia" w:ascii="仿宋_GB2312" w:hAnsi="仿宋_GB2312" w:eastAsia="仿宋_GB2312" w:cs="仿宋_GB2312"/>
          <w:color w:val="000000"/>
          <w:sz w:val="32"/>
          <w:szCs w:val="32"/>
          <w:highlight w:val="none"/>
          <w:shd w:val="clear" w:color="auto" w:fill="FFFFFF"/>
          <w:lang w:val="en-US" w:eastAsia="zh-CN"/>
        </w:rPr>
        <w:t>中关村门头沟园管委会、</w:t>
      </w:r>
      <w:r>
        <w:rPr>
          <w:rFonts w:hint="eastAsia" w:ascii="仿宋_GB2312" w:hAnsi="仿宋_GB2312" w:eastAsia="仿宋_GB2312" w:cs="仿宋_GB2312"/>
          <w:color w:val="000000"/>
          <w:sz w:val="32"/>
          <w:szCs w:val="32"/>
          <w:shd w:val="clear" w:color="auto" w:fill="FFFFFF"/>
          <w:lang w:val="en-US" w:eastAsia="zh-CN"/>
        </w:rPr>
        <w:t>区总工会、团区委、区妇联、区科协、区税务局、</w:t>
      </w:r>
      <w:r>
        <w:rPr>
          <w:rFonts w:hint="eastAsia" w:ascii="仿宋_GB2312" w:hAnsi="仿宋_GB2312" w:eastAsia="仿宋_GB2312" w:cs="仿宋_GB2312"/>
          <w:color w:val="000000"/>
          <w:sz w:val="32"/>
          <w:szCs w:val="32"/>
          <w:highlight w:val="none"/>
          <w:shd w:val="clear" w:color="auto" w:fill="FFFFFF"/>
          <w:lang w:val="en-US" w:eastAsia="zh-CN"/>
        </w:rPr>
        <w:t>区投促中心</w:t>
      </w:r>
      <w:r>
        <w:rPr>
          <w:rFonts w:hint="eastAsia" w:ascii="仿宋_GB2312" w:hAnsi="仿宋_GB2312" w:eastAsia="仿宋_GB2312" w:cs="仿宋_GB2312"/>
          <w:color w:val="000000"/>
          <w:sz w:val="32"/>
          <w:szCs w:val="32"/>
          <w:shd w:val="clear" w:color="auto" w:fill="FFFFFF"/>
          <w:lang w:val="en-US" w:eastAsia="zh-CN"/>
        </w:rPr>
        <w:t>意见并依照各单位意见进行了认真修改，已提交法务审核通过。</w:t>
      </w:r>
    </w:p>
    <w:p w14:paraId="0AE9BBF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sz w:val="32"/>
          <w:szCs w:val="32"/>
        </w:rPr>
      </w:pPr>
      <w:r>
        <w:rPr>
          <w:rFonts w:hint="eastAsia" w:ascii="黑体" w:hAnsi="黑体" w:eastAsia="黑体" w:cs="黑体"/>
          <w:sz w:val="32"/>
          <w:szCs w:val="32"/>
        </w:rPr>
        <w:t>二、文件主要内容</w:t>
      </w:r>
    </w:p>
    <w:p w14:paraId="7B2B5E86">
      <w:pPr>
        <w:keepNext w:val="0"/>
        <w:keepLines w:val="0"/>
        <w:pageBreakBefore w:val="0"/>
        <w:widowControl w:val="0"/>
        <w:kinsoku/>
        <w:wordWrap/>
        <w:overflowPunct/>
        <w:topLinePunct w:val="0"/>
        <w:autoSpaceDE/>
        <w:autoSpaceDN/>
        <w:bidi w:val="0"/>
        <w:spacing w:line="560" w:lineRule="exact"/>
        <w:ind w:firstLine="641"/>
        <w:textAlignment w:val="auto"/>
        <w:rPr>
          <w:rFonts w:hint="default" w:ascii="仿宋_GB2312" w:hAnsi="华文中宋" w:eastAsia="仿宋_GB2312"/>
          <w:sz w:val="32"/>
          <w:szCs w:val="32"/>
          <w:lang w:val="en-US" w:eastAsia="zh-CN"/>
        </w:rPr>
      </w:pPr>
      <w:r>
        <w:rPr>
          <w:rFonts w:hint="eastAsia" w:ascii="仿宋_GB2312" w:hAnsi="华文中宋" w:eastAsia="仿宋_GB2312"/>
          <w:sz w:val="32"/>
          <w:szCs w:val="32"/>
        </w:rPr>
        <w:t>该文件</w:t>
      </w:r>
      <w:r>
        <w:rPr>
          <w:rFonts w:hint="eastAsia" w:ascii="仿宋_GB2312" w:hAnsi="华文中宋" w:eastAsia="仿宋_GB2312"/>
          <w:sz w:val="32"/>
          <w:szCs w:val="32"/>
          <w:lang w:val="en-US" w:eastAsia="zh-CN"/>
        </w:rPr>
        <w:t>包含三个部分共十条内容，</w:t>
      </w:r>
      <w:r>
        <w:rPr>
          <w:rFonts w:hint="eastAsia" w:ascii="仿宋_GB2312" w:hAnsi="仿宋_GB2312" w:eastAsia="仿宋_GB2312" w:cs="仿宋_GB2312"/>
          <w:sz w:val="32"/>
          <w:szCs w:val="32"/>
        </w:rPr>
        <w:t>主要包括</w:t>
      </w:r>
      <w:r>
        <w:rPr>
          <w:rFonts w:hint="eastAsia" w:ascii="仿宋_GB2312" w:hAnsi="仿宋_GB2312" w:eastAsia="仿宋_GB2312" w:cs="仿宋_GB2312"/>
          <w:sz w:val="32"/>
          <w:szCs w:val="32"/>
          <w:lang w:val="en-US" w:eastAsia="zh-CN"/>
        </w:rPr>
        <w:t>指导思想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工作目标、重点任务。重点任务分为三点：</w:t>
      </w:r>
    </w:p>
    <w:p w14:paraId="76FC37EE">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Times New Roman" w:hAnsi="Times New Roman" w:eastAsia="仿宋_GB2312" w:cs="仿宋_GB2312"/>
          <w:sz w:val="32"/>
          <w:szCs w:val="32"/>
          <w:shd w:val="clear" w:color="auto" w:fill="FFFFFF"/>
          <w:lang w:val="en-US" w:eastAsia="zh-CN"/>
        </w:rPr>
      </w:pPr>
      <w:r>
        <w:rPr>
          <w:rFonts w:hint="eastAsia" w:ascii="仿宋_GB2312" w:hAnsi="华文中宋" w:eastAsia="仿宋_GB2312"/>
          <w:sz w:val="32"/>
          <w:szCs w:val="32"/>
          <w:lang w:val="en-US" w:eastAsia="zh-CN"/>
        </w:rPr>
        <w:t>一是加强技术经理人吸纳与培养</w:t>
      </w:r>
      <w:r>
        <w:rPr>
          <w:rFonts w:hint="eastAsia" w:ascii="Times New Roman" w:hAnsi="Times New Roman" w:eastAsia="仿宋_GB2312" w:cs="仿宋_GB2312"/>
          <w:sz w:val="32"/>
          <w:szCs w:val="32"/>
          <w:shd w:val="clear" w:color="auto" w:fill="FFFFFF"/>
          <w:lang w:val="en-US" w:eastAsia="zh-CN"/>
        </w:rPr>
        <w:t>。围绕三大产业发展需求，设置技术经理人岗位，明确技术经理人岗位职责；加大技术经理人的引进力度，推广柔性引才机制；开发特色培训课程，结合实训基地锻炼，提升队伍业务水平。</w:t>
      </w:r>
    </w:p>
    <w:p w14:paraId="0907F3A1">
      <w:pPr>
        <w:keepNext w:val="0"/>
        <w:keepLines w:val="0"/>
        <w:pageBreakBefore w:val="0"/>
        <w:widowControl w:val="0"/>
        <w:kinsoku/>
        <w:wordWrap/>
        <w:overflowPunct/>
        <w:topLinePunct w:val="0"/>
        <w:autoSpaceDE/>
        <w:autoSpaceDN/>
        <w:bidi w:val="0"/>
        <w:spacing w:line="560" w:lineRule="exact"/>
        <w:ind w:firstLine="641"/>
        <w:textAlignment w:val="auto"/>
        <w:rPr>
          <w:rFonts w:hint="eastAsia" w:ascii="仿宋_GB2312" w:hAnsi="华文中宋" w:eastAsia="仿宋_GB2312"/>
          <w:sz w:val="32"/>
          <w:szCs w:val="32"/>
          <w:lang w:val="en-US" w:eastAsia="zh-CN"/>
        </w:rPr>
      </w:pPr>
      <w:r>
        <w:rPr>
          <w:rFonts w:hint="eastAsia" w:ascii="仿宋_GB2312" w:hAnsi="华文中宋" w:eastAsia="仿宋_GB2312"/>
          <w:sz w:val="32"/>
          <w:szCs w:val="32"/>
          <w:lang w:val="en-US" w:eastAsia="zh-CN"/>
        </w:rPr>
        <w:t>二是夯实科技成果转化资源网络。用好北京科技成果转化智能服务平台，建立具有我区特色的科技成果储备库；打造标杆转化服务机构和标杆平台，拓展技术经理人资源网络；强化产学研深度融合，促进科技成果转化与产业对接，擦亮技术转移活动品牌。</w:t>
      </w:r>
    </w:p>
    <w:p w14:paraId="7561DFB8">
      <w:pPr>
        <w:keepNext w:val="0"/>
        <w:keepLines w:val="0"/>
        <w:pageBreakBefore w:val="0"/>
        <w:widowControl w:val="0"/>
        <w:kinsoku/>
        <w:wordWrap/>
        <w:overflowPunct/>
        <w:topLinePunct w:val="0"/>
        <w:autoSpaceDE/>
        <w:autoSpaceDN/>
        <w:bidi w:val="0"/>
        <w:spacing w:line="560" w:lineRule="exact"/>
        <w:ind w:firstLine="641"/>
        <w:textAlignment w:val="auto"/>
      </w:pPr>
      <w:r>
        <w:rPr>
          <w:rFonts w:hint="eastAsia" w:ascii="仿宋_GB2312" w:hAnsi="华文中宋" w:eastAsia="仿宋_GB2312"/>
          <w:sz w:val="32"/>
          <w:szCs w:val="32"/>
          <w:lang w:val="en-US" w:eastAsia="zh-CN"/>
        </w:rPr>
        <w:t>三是</w:t>
      </w:r>
      <w:r>
        <w:rPr>
          <w:rFonts w:hint="eastAsia" w:ascii="Times New Roman" w:hAnsi="Times New Roman" w:eastAsia="仿宋_GB2312" w:cs="仿宋_GB2312"/>
          <w:sz w:val="32"/>
          <w:szCs w:val="32"/>
          <w:shd w:val="clear" w:color="auto" w:fill="FFFFFF"/>
          <w:lang w:val="en-US" w:eastAsia="zh-CN"/>
        </w:rPr>
        <w:t>激发技术经理人生态活力。设立专项资金支持技术经理人培训、奖励等工作；将引育的技术经理人推荐纳入“京西人才永定卡”服务范围，提高技术经理人待遇；完善技术经理人职称评价制度，激发队伍的创新活力与职业归属感；宣传推广优秀技术经理人事迹与科技成果转化成功案例。</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8B2949"/>
    <w:rsid w:val="12D64AED"/>
    <w:rsid w:val="155818FB"/>
    <w:rsid w:val="158E6735"/>
    <w:rsid w:val="1B224FD2"/>
    <w:rsid w:val="1FFE3F9F"/>
    <w:rsid w:val="21F5393B"/>
    <w:rsid w:val="281F491E"/>
    <w:rsid w:val="33710076"/>
    <w:rsid w:val="3AB44C23"/>
    <w:rsid w:val="45412E02"/>
    <w:rsid w:val="46350C91"/>
    <w:rsid w:val="65E80207"/>
    <w:rsid w:val="76681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Normal Indent"/>
    <w:basedOn w:val="1"/>
    <w:next w:val="3"/>
    <w:uiPriority w:val="0"/>
    <w:pPr>
      <w:ind w:firstLine="420"/>
    </w:pPr>
    <w:rPr>
      <w:rFonts w:ascii="Times New Roman" w:hAnsi="Times New Roman" w:eastAsia="宋体" w:cs="Times New Roman"/>
      <w:szCs w:val="20"/>
    </w:rPr>
  </w:style>
  <w:style w:type="paragraph" w:customStyle="1" w:styleId="3">
    <w:name w:val="6-正文"/>
    <w:basedOn w:val="1"/>
    <w:qFormat/>
    <w:uiPriority w:val="0"/>
    <w:pPr>
      <w:spacing w:line="360" w:lineRule="auto"/>
      <w:ind w:firstLine="200" w:firstLineChars="200"/>
    </w:pPr>
    <w:rPr>
      <w:rFonts w:ascii="Times New Roman" w:hAnsi="Times New Roman"/>
      <w:sz w:val="24"/>
      <w:szCs w:val="28"/>
    </w:rPr>
  </w:style>
  <w:style w:type="paragraph" w:styleId="4">
    <w:name w:val="Body Text"/>
    <w:basedOn w:val="1"/>
    <w:next w:val="1"/>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843</Words>
  <Characters>859</Characters>
  <Lines>0</Lines>
  <Paragraphs>0</Paragraphs>
  <TotalTime>0</TotalTime>
  <ScaleCrop>false</ScaleCrop>
  <LinksUpToDate>false</LinksUpToDate>
  <CharactersWithSpaces>859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kjxh1</dc:creator>
  <cp:lastModifiedBy>Mint1398171869</cp:lastModifiedBy>
  <dcterms:modified xsi:type="dcterms:W3CDTF">2025-06-04T02:37:39Z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5EB2A94D6F144ABABDAF32E6316C4CD2_13</vt:lpwstr>
  </property>
</Properties>
</file>