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left"/>
        <w:outlineLvl w:val="0"/>
        <w:rPr>
          <w:rFonts w:hint="eastAsia" w:ascii="方正小标宋简体" w:hAnsi="方正小标宋简体" w:eastAsia="黑体" w:cs="方正小标宋简体"/>
          <w:sz w:val="32"/>
          <w:szCs w:val="32"/>
        </w:rPr>
      </w:pPr>
      <w:r>
        <w:rPr>
          <w:rFonts w:hint="eastAsia" w:ascii="黑体" w:hAnsi="黑体" w:eastAsia="黑体" w:cs="黑体"/>
          <w:color w:val="333333"/>
          <w:sz w:val="32"/>
          <w:szCs w:val="32"/>
          <w:shd w:val="clear" w:color="auto" w:fill="FFFFFF"/>
        </w:rPr>
        <w:t>附件2</w:t>
      </w:r>
      <w:bookmarkStart w:id="0" w:name="_GoBack"/>
      <w:bookmarkEnd w:id="0"/>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2025年智能网联汽车数据应用与流通交易</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奖励办事指南</w:t>
      </w:r>
    </w:p>
    <w:p>
      <w:pPr>
        <w:pStyle w:val="2"/>
        <w:spacing w:line="536" w:lineRule="exact"/>
        <w:rPr>
          <w:rFonts w:hint="eastAsia" w:ascii="楷体_GB2312" w:hAnsi="楷体_GB2312" w:eastAsia="楷体_GB2312" w:cs="楷体_GB2312"/>
        </w:rPr>
      </w:pPr>
    </w:p>
    <w:p>
      <w:pPr>
        <w:spacing w:line="558" w:lineRule="exact"/>
        <w:ind w:firstLine="640" w:firstLineChars="200"/>
        <w:rPr>
          <w:rFonts w:hint="eastAsia" w:ascii="黑体" w:hAnsi="黑体" w:eastAsia="黑体" w:cs="黑体"/>
          <w:color w:val="000000"/>
          <w:sz w:val="32"/>
          <w:szCs w:val="32"/>
        </w:rPr>
      </w:pPr>
      <w:r>
        <w:rPr>
          <w:rFonts w:hint="eastAsia" w:ascii="黑体" w:hAnsi="黑体" w:eastAsia="黑体" w:cs="黑体"/>
          <w:sz w:val="32"/>
          <w:szCs w:val="32"/>
        </w:rPr>
        <w:t>一、政策依据</w:t>
      </w:r>
    </w:p>
    <w:p>
      <w:pPr>
        <w:spacing w:line="558"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《北京经济技术开发区关于促进智能网联汽车产业高质量发展若干政策》</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京技管发〔2024〕26号</w:t>
      </w:r>
      <w:r>
        <w:rPr>
          <w:rFonts w:hint="eastAsia" w:ascii="仿宋_GB2312" w:hAnsi="仿宋_GB2312" w:eastAsia="仿宋_GB2312" w:cs="仿宋_GB2312"/>
          <w:sz w:val="32"/>
          <w:szCs w:val="32"/>
        </w:rPr>
        <w:t>）</w:t>
      </w:r>
      <w:r>
        <w:rPr>
          <w:rFonts w:hint="eastAsia" w:ascii="仿宋_GB2312" w:hAnsi="仿宋_GB2312" w:eastAsia="仿宋_GB2312" w:cs="仿宋_GB2312"/>
          <w:bCs/>
          <w:color w:val="000000"/>
          <w:sz w:val="32"/>
          <w:szCs w:val="32"/>
        </w:rPr>
        <w:t>中第三条“鼓励数据应用及要素流通交易。依托北京数据基础制度先行区，打造智能网联汽车数据安全监管沙盒，促进数据资源价值挖掘及流通交易。围绕自动驾驶感知规控算法训练、设计运行场景验证、安全运行能力测试等应用方向，支持特色数据产品开发。对于通过合规渠道获取并有效利用流通数据、促进数据商业化应用的主体，按其实际支付的数据交易额的30%予以支持，每个企业每年支持金额最高150万元。”</w:t>
      </w:r>
    </w:p>
    <w:p>
      <w:pPr>
        <w:spacing w:line="55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二、申报事项</w:t>
      </w:r>
    </w:p>
    <w:p>
      <w:pPr>
        <w:spacing w:line="558"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2025年智能网联汽车数据应用与流通交易奖励</w:t>
      </w:r>
    </w:p>
    <w:p>
      <w:pPr>
        <w:spacing w:line="558"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三、申报条件</w:t>
      </w:r>
    </w:p>
    <w:p>
      <w:pPr>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（一）申请主体为在亦庄新城225平方公里范围内</w:t>
      </w:r>
      <w:r>
        <w:rPr>
          <w:rFonts w:hint="eastAsia" w:ascii="仿宋_GB2312" w:hAnsi="仿宋_GB2312" w:eastAsia="仿宋_GB2312" w:cs="仿宋_GB2312"/>
          <w:color w:val="000000"/>
          <w:sz w:val="32"/>
          <w:szCs w:val="32"/>
        </w:rPr>
        <w:t>依法经营并对亦庄新城发展产生实际贡献，</w:t>
      </w:r>
      <w:r>
        <w:rPr>
          <w:rFonts w:hint="eastAsia" w:ascii="仿宋_GB2312" w:hAnsi="仿宋_GB2312" w:eastAsia="仿宋_GB2312" w:cs="仿宋_GB2312"/>
          <w:sz w:val="32"/>
          <w:szCs w:val="32"/>
          <w:lang w:bidi="ar"/>
        </w:rPr>
        <w:t>近3年无重大行政处罚记录和刑事犯罪记录，未列入严重违法失信主体名单的企业</w:t>
      </w:r>
      <w:r>
        <w:rPr>
          <w:rFonts w:hint="eastAsia" w:ascii="仿宋_GB2312" w:hAnsi="仿宋_GB2312" w:eastAsia="仿宋_GB2312" w:cs="仿宋_GB2312"/>
          <w:sz w:val="32"/>
          <w:szCs w:val="32"/>
        </w:rPr>
        <w:t>。</w:t>
      </w:r>
    </w:p>
    <w:p>
      <w:pPr>
        <w:spacing w:line="55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bidi="ar"/>
        </w:rPr>
        <w:t>申报主体需为</w:t>
      </w:r>
      <w:r>
        <w:rPr>
          <w:rFonts w:hint="eastAsia" w:ascii="仿宋_GB2312" w:hAnsi="仿宋_GB2312" w:eastAsia="仿宋_GB2312" w:cs="仿宋_GB2312"/>
          <w:sz w:val="32"/>
          <w:szCs w:val="32"/>
        </w:rPr>
        <w:t>实际支付购买数据产品或服务的企业</w:t>
      </w:r>
      <w:r>
        <w:rPr>
          <w:rFonts w:hint="eastAsia" w:ascii="仿宋_GB2312" w:hAnsi="仿宋_GB2312" w:eastAsia="仿宋_GB2312" w:cs="仿宋_GB2312"/>
          <w:bCs/>
          <w:color w:val="000000"/>
          <w:sz w:val="32"/>
          <w:szCs w:val="32"/>
        </w:rPr>
        <w:t>，交易数据须</w:t>
      </w:r>
      <w:r>
        <w:rPr>
          <w:rFonts w:hint="eastAsia" w:ascii="仿宋_GB2312" w:hAnsi="仿宋_GB2312" w:eastAsia="仿宋_GB2312" w:cs="仿宋_GB2312"/>
          <w:sz w:val="32"/>
          <w:szCs w:val="32"/>
        </w:rPr>
        <w:t>围绕</w:t>
      </w:r>
      <w:r>
        <w:rPr>
          <w:rFonts w:hint="eastAsia" w:ascii="仿宋_GB2312" w:hAnsi="仿宋_GB2312" w:eastAsia="仿宋_GB2312" w:cs="仿宋_GB2312"/>
          <w:bCs/>
          <w:color w:val="000000"/>
          <w:sz w:val="32"/>
          <w:szCs w:val="32"/>
        </w:rPr>
        <w:t>自动驾驶感知规控算法训练、设计运行场景验证、安全运行能力测试等</w:t>
      </w:r>
      <w:r>
        <w:rPr>
          <w:rFonts w:hint="eastAsia" w:ascii="仿宋_GB2312" w:hAnsi="仿宋_GB2312" w:eastAsia="仿宋_GB2312" w:cs="仿宋_GB2312"/>
          <w:sz w:val="32"/>
          <w:szCs w:val="32"/>
        </w:rPr>
        <w:t>应用</w:t>
      </w:r>
      <w:r>
        <w:rPr>
          <w:rFonts w:hint="eastAsia" w:ascii="仿宋_GB2312" w:hAnsi="仿宋_GB2312" w:eastAsia="仿宋_GB2312" w:cs="仿宋_GB2312"/>
          <w:bCs/>
          <w:color w:val="000000"/>
          <w:sz w:val="32"/>
          <w:szCs w:val="32"/>
        </w:rPr>
        <w:t>方向</w:t>
      </w:r>
      <w:r>
        <w:rPr>
          <w:rFonts w:hint="eastAsia" w:ascii="仿宋_GB2312" w:hAnsi="仿宋_GB2312" w:eastAsia="仿宋_GB2312" w:cs="仿宋_GB2312"/>
          <w:sz w:val="32"/>
          <w:szCs w:val="32"/>
          <w:lang w:bidi="ar"/>
        </w:rPr>
        <w:t>。</w:t>
      </w:r>
    </w:p>
    <w:p>
      <w:pPr>
        <w:pStyle w:val="15"/>
        <w:spacing w:before="0" w:beforeAutospacing="0" w:after="0" w:afterAutospacing="0" w:line="558" w:lineRule="exact"/>
        <w:ind w:firstLine="641"/>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w:t>
      </w:r>
      <w:r>
        <w:rPr>
          <w:rFonts w:hint="eastAsia" w:ascii="仿宋_GB2312" w:hAnsi="仿宋_GB2312" w:eastAsia="仿宋_GB2312" w:cs="仿宋_GB2312"/>
          <w:bCs/>
          <w:color w:val="000000"/>
          <w:kern w:val="2"/>
          <w:sz w:val="32"/>
          <w:szCs w:val="32"/>
        </w:rPr>
        <w:t>数据交易应满足行业相关监管要求，交易数据来源及应用须安全、合法、合规。</w:t>
      </w:r>
    </w:p>
    <w:p>
      <w:pPr>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（四）数据交易应在自动驾驶公共数据专区或北京人工智能数据训练基地进行目录登记，应充分利用北京市人工智能训练基地公共算力及相关工具平台，鼓励支持产品上架和流通交易。</w:t>
      </w:r>
    </w:p>
    <w:p>
      <w:pPr>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（五）数据交易实际支付时间需</w:t>
      </w:r>
      <w:r>
        <w:rPr>
          <w:rFonts w:hint="eastAsia" w:ascii="仿宋_GB2312" w:hAnsi="仿宋_GB2312" w:eastAsia="仿宋_GB2312" w:cs="仿宋_GB2312"/>
          <w:sz w:val="32"/>
          <w:szCs w:val="32"/>
          <w:lang w:bidi="ar"/>
        </w:rPr>
        <w:t>在2024年1月1日至2024年12月31日内。</w:t>
      </w:r>
    </w:p>
    <w:p>
      <w:pPr>
        <w:spacing w:line="558"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四、支持内容及标准</w:t>
      </w:r>
    </w:p>
    <w:p>
      <w:pPr>
        <w:pStyle w:val="15"/>
        <w:spacing w:before="0" w:beforeAutospacing="0" w:after="0" w:afterAutospacing="0" w:line="558"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（一）支持企业2024年1月1日至2024年12月31日期间实际发生数据交易并支付交易额（发票总金额）的30%，超过执行期限的部分，不作为实际交易额的核定依据；</w:t>
      </w:r>
    </w:p>
    <w:p>
      <w:pPr>
        <w:pStyle w:val="15"/>
        <w:spacing w:before="0" w:beforeAutospacing="0" w:after="0" w:afterAutospacing="0" w:line="558"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（二）同一企业每年支持金额最高150万元。</w:t>
      </w:r>
    </w:p>
    <w:p>
      <w:pPr>
        <w:spacing w:line="55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五、申报材料及要求</w:t>
      </w:r>
    </w:p>
    <w:p>
      <w:pPr>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1.2025年智能网联汽车数据应用与流通交易奖励申报表，在线填写；</w:t>
      </w:r>
    </w:p>
    <w:p>
      <w:pPr>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企业营业执照</w:t>
      </w:r>
      <w:r>
        <w:rPr>
          <w:rFonts w:hint="eastAsia" w:ascii="仿宋_GB2312" w:hAnsi="仿宋_GB2312" w:eastAsia="仿宋_GB2312" w:cs="仿宋_GB2312"/>
          <w:sz w:val="32"/>
          <w:szCs w:val="32"/>
        </w:rPr>
        <w:t>，选取电子证照；</w:t>
      </w:r>
    </w:p>
    <w:p>
      <w:pPr>
        <w:spacing w:line="558" w:lineRule="exact"/>
        <w:ind w:firstLine="640" w:firstLineChars="200"/>
        <w:rPr>
          <w:rFonts w:ascii="仿宋_GB2312" w:eastAsia="仿宋_GB2312"/>
          <w:sz w:val="32"/>
          <w:szCs w:val="32"/>
        </w:rPr>
      </w:pPr>
      <w:r>
        <w:rPr>
          <w:rFonts w:hint="eastAsia" w:ascii="仿宋_GB2312" w:eastAsia="仿宋_GB2312"/>
          <w:sz w:val="32"/>
          <w:szCs w:val="32"/>
        </w:rPr>
        <w:t>3.承诺书，下载模板填写，签字、加盖公章，彩色扫描上传；</w:t>
      </w:r>
    </w:p>
    <w:p>
      <w:pPr>
        <w:spacing w:line="558" w:lineRule="exact"/>
        <w:ind w:firstLine="640"/>
        <w:rPr>
          <w:rFonts w:ascii="仿宋_GB2312" w:eastAsia="仿宋_GB2312"/>
          <w:sz w:val="32"/>
          <w:szCs w:val="32"/>
        </w:rPr>
      </w:pPr>
      <w:r>
        <w:rPr>
          <w:rFonts w:hint="eastAsia" w:ascii="仿宋_GB2312" w:eastAsia="仿宋_GB2312"/>
          <w:sz w:val="32"/>
          <w:szCs w:val="32"/>
        </w:rPr>
        <w:t>4.银行账户信息，下载模板填写，加盖公章，彩色扫描上传；</w:t>
      </w:r>
    </w:p>
    <w:p>
      <w:pPr>
        <w:spacing w:line="558" w:lineRule="exact"/>
        <w:ind w:firstLine="640" w:firstLineChars="200"/>
        <w:outlineLvl w:val="2"/>
        <w:rPr>
          <w:rFonts w:ascii="仿宋_GB2312" w:eastAsia="仿宋_GB2312"/>
          <w:sz w:val="32"/>
          <w:szCs w:val="32"/>
        </w:rPr>
      </w:pPr>
      <w:r>
        <w:rPr>
          <w:rFonts w:hint="eastAsia" w:ascii="仿宋_GB2312" w:hAnsi="仿宋_GB2312" w:eastAsia="仿宋_GB2312" w:cs="仿宋_GB2312"/>
          <w:sz w:val="32"/>
          <w:szCs w:val="32"/>
        </w:rPr>
        <w:t>5.数据交易合同、相对应的发票、</w:t>
      </w:r>
      <w:r>
        <w:rPr>
          <w:rFonts w:hint="eastAsia" w:ascii="仿宋_GB2312" w:eastAsia="仿宋_GB2312"/>
          <w:sz w:val="32"/>
          <w:szCs w:val="32"/>
        </w:rPr>
        <w:t>交易</w:t>
      </w:r>
      <w:r>
        <w:rPr>
          <w:rFonts w:hint="eastAsia" w:ascii="仿宋_GB2312" w:hAnsi="仿宋_GB2312" w:eastAsia="仿宋_GB2312" w:cs="仿宋_GB2312"/>
          <w:bCs/>
          <w:color w:val="000000"/>
          <w:sz w:val="32"/>
          <w:szCs w:val="32"/>
        </w:rPr>
        <w:t>数据应用方向说明</w:t>
      </w:r>
      <w:r>
        <w:rPr>
          <w:rFonts w:hint="eastAsia" w:ascii="仿宋_GB2312" w:hAnsi="仿宋_GB2312" w:eastAsia="仿宋_GB2312" w:cs="仿宋_GB2312"/>
          <w:sz w:val="32"/>
          <w:szCs w:val="32"/>
        </w:rPr>
        <w:t>，开票日期须在2024年1月1日至2024年12月31日内，原件彩色扫描上传（若无法扫描原件，需复印件加盖公章，彩色扫描上传）；</w:t>
      </w:r>
    </w:p>
    <w:p>
      <w:pPr>
        <w:spacing w:line="558" w:lineRule="exact"/>
        <w:ind w:firstLine="640"/>
        <w:rPr>
          <w:rFonts w:ascii="仿宋_GB2312" w:eastAsia="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Cs/>
          <w:color w:val="000000"/>
          <w:sz w:val="32"/>
          <w:szCs w:val="32"/>
        </w:rPr>
        <w:t>交易数据来源及应用的合法合规、数据应用安全承诺，</w:t>
      </w:r>
      <w:r>
        <w:rPr>
          <w:rFonts w:hint="eastAsia" w:ascii="仿宋_GB2312" w:eastAsia="仿宋_GB2312"/>
          <w:sz w:val="32"/>
          <w:szCs w:val="32"/>
        </w:rPr>
        <w:t>加盖公章，彩色扫描上传；</w:t>
      </w:r>
    </w:p>
    <w:p>
      <w:pPr>
        <w:spacing w:line="558" w:lineRule="exact"/>
        <w:ind w:firstLine="640"/>
        <w:rPr>
          <w:rFonts w:hint="eastAsia" w:ascii="仿宋_GB2312" w:hAnsi="仿宋_GB2312" w:eastAsia="仿宋_GB2312" w:cs="仿宋_GB2312"/>
          <w:color w:val="000000"/>
          <w:sz w:val="32"/>
          <w:szCs w:val="32"/>
        </w:rPr>
      </w:pPr>
      <w:r>
        <w:rPr>
          <w:rFonts w:hint="eastAsia" w:ascii="仿宋_GB2312" w:eastAsia="仿宋_GB2312"/>
          <w:sz w:val="32"/>
          <w:szCs w:val="32"/>
        </w:rPr>
        <w:t>7.数据交易</w:t>
      </w:r>
      <w:r>
        <w:rPr>
          <w:rFonts w:hint="eastAsia" w:ascii="仿宋_GB2312" w:hAnsi="仿宋_GB2312" w:eastAsia="仿宋_GB2312" w:cs="仿宋_GB2312"/>
          <w:sz w:val="32"/>
          <w:szCs w:val="32"/>
        </w:rPr>
        <w:t>在北京人工智能数据训练基地</w:t>
      </w:r>
      <w:r>
        <w:rPr>
          <w:rFonts w:hint="eastAsia" w:ascii="仿宋_GB2312" w:eastAsia="仿宋_GB2312"/>
          <w:sz w:val="32"/>
          <w:szCs w:val="32"/>
        </w:rPr>
        <w:t>目录登记、使用相关平台或基础设施的情况说明，或服务合同协议（如有），加盖公章，彩色扫描上传。</w:t>
      </w:r>
    </w:p>
    <w:p>
      <w:pPr>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Autospacing="0" w:line="558" w:lineRule="exact"/>
        <w:ind w:firstLine="642"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（一）网上申报</w:t>
      </w:r>
      <w:r>
        <w:rPr>
          <w:rFonts w:hint="eastAsia" w:ascii="仿宋_GB2312" w:hAnsi="仿宋_GB2312" w:eastAsia="仿宋_GB2312" w:cs="仿宋_GB2312"/>
          <w:color w:val="000000"/>
          <w:kern w:val="2"/>
          <w:sz w:val="32"/>
          <w:szCs w:val="32"/>
        </w:rPr>
        <w:t>：通过</w:t>
      </w:r>
      <w:r>
        <w:rPr>
          <w:rFonts w:hint="eastAsia" w:ascii="仿宋_GB2312" w:hAnsi="仿宋_GB2312" w:eastAsia="仿宋_GB2312" w:cs="仿宋_GB2312"/>
          <w:kern w:val="2"/>
          <w:sz w:val="32"/>
          <w:szCs w:val="32"/>
        </w:rPr>
        <w:t>北京市人民政府门户网站“政策兑现”栏目（https://zhengce.beijing.gov.cn）或经开区官网“政策兑现”栏目（zcdx.kfqgw.beijing.gov.cn）进入政策兑现综合服务平台，注册登录后进行项目申报。</w:t>
      </w:r>
      <w:r>
        <w:rPr>
          <w:rFonts w:hint="eastAsia" w:ascii="仿宋_GB2312" w:hAnsi="仿宋_GB2312" w:eastAsia="仿宋_GB2312" w:cs="仿宋_GB2312"/>
          <w:color w:val="000000"/>
          <w:kern w:val="2"/>
          <w:sz w:val="32"/>
          <w:szCs w:val="32"/>
        </w:rPr>
        <w:t>如未在规定时间内提交申请的，视为自动放弃。</w:t>
      </w:r>
    </w:p>
    <w:p>
      <w:pPr>
        <w:pStyle w:val="8"/>
        <w:widowControl/>
        <w:numPr>
          <w:ilvl w:val="255"/>
          <w:numId w:val="0"/>
        </w:numPr>
        <w:shd w:val="clear" w:color="auto" w:fill="FFFFFF"/>
        <w:spacing w:beforeAutospacing="0" w:afterAutospacing="0" w:line="558" w:lineRule="exact"/>
        <w:ind w:firstLine="642"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（二）初审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8"/>
        <w:widowControl/>
        <w:shd w:val="clear" w:color="auto" w:fill="FFFFFF"/>
        <w:spacing w:beforeAutospacing="0" w:afterAutospacing="0" w:line="558" w:lineRule="exact"/>
        <w:ind w:firstLine="642"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（三）审核</w:t>
      </w:r>
      <w:r>
        <w:rPr>
          <w:rFonts w:hint="eastAsia" w:ascii="仿宋_GB2312" w:hAnsi="仿宋_GB2312" w:eastAsia="仿宋_GB2312" w:cs="仿宋_GB2312"/>
          <w:color w:val="000000"/>
          <w:kern w:val="2"/>
          <w:sz w:val="32"/>
          <w:szCs w:val="32"/>
        </w:rPr>
        <w:t>：北京市高级别自动驾驶示范区工作办公室对申报材料进行实质审核。</w:t>
      </w:r>
    </w:p>
    <w:p>
      <w:pPr>
        <w:pStyle w:val="8"/>
        <w:widowControl/>
        <w:shd w:val="clear" w:color="auto" w:fill="FFFFFF"/>
        <w:spacing w:beforeAutospacing="0" w:afterAutospacing="0" w:line="558" w:lineRule="exact"/>
        <w:ind w:firstLine="642"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（四）专家评审：</w:t>
      </w:r>
      <w:r>
        <w:rPr>
          <w:rFonts w:hint="eastAsia" w:ascii="仿宋_GB2312" w:hAnsi="仿宋_GB2312" w:eastAsia="仿宋_GB2312" w:cs="仿宋_GB2312"/>
          <w:color w:val="000000"/>
          <w:kern w:val="2"/>
          <w:sz w:val="32"/>
          <w:szCs w:val="32"/>
        </w:rPr>
        <w:t>北京市高级别自动驾驶示范区工作办公室组织专家线下对申报材料进行评审，评审后将结果上传到系统。</w:t>
      </w:r>
    </w:p>
    <w:p>
      <w:pPr>
        <w:pStyle w:val="8"/>
        <w:widowControl/>
        <w:shd w:val="clear" w:color="auto" w:fill="FFFFFF"/>
        <w:spacing w:beforeAutospacing="0" w:afterAutospacing="0" w:line="558" w:lineRule="exact"/>
        <w:ind w:firstLine="642"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（五）确定扶持结果</w:t>
      </w:r>
      <w:r>
        <w:rPr>
          <w:rFonts w:hint="eastAsia" w:ascii="仿宋_GB2312" w:hAnsi="仿宋_GB2312" w:eastAsia="仿宋_GB2312" w:cs="仿宋_GB2312"/>
          <w:color w:val="000000"/>
          <w:kern w:val="2"/>
          <w:sz w:val="32"/>
          <w:szCs w:val="32"/>
        </w:rPr>
        <w:t>：北京市高级别自动驾驶示范区工作办公室对审核通过的申报主体拟定兑现支持奖励金额。</w:t>
      </w:r>
    </w:p>
    <w:p>
      <w:pPr>
        <w:pStyle w:val="8"/>
        <w:widowControl/>
        <w:shd w:val="clear" w:color="auto" w:fill="FFFFFF"/>
        <w:spacing w:beforeAutospacing="0" w:afterAutospacing="0" w:line="558" w:lineRule="exact"/>
        <w:ind w:firstLine="642"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（六）公示</w:t>
      </w:r>
      <w:r>
        <w:rPr>
          <w:rFonts w:hint="eastAsia" w:ascii="仿宋_GB2312" w:hAnsi="仿宋_GB2312" w:eastAsia="仿宋_GB2312" w:cs="仿宋_GB2312"/>
          <w:color w:val="000000"/>
          <w:kern w:val="2"/>
          <w:sz w:val="32"/>
          <w:szCs w:val="32"/>
        </w:rPr>
        <w:t>：北京市高级别自动驾驶示范区工作办公室通过政策兑现综合服务平台对审核通过的申报主体进行公示。</w:t>
      </w:r>
    </w:p>
    <w:p>
      <w:pPr>
        <w:pStyle w:val="8"/>
        <w:widowControl/>
        <w:shd w:val="clear" w:color="auto" w:fill="FFFFFF"/>
        <w:spacing w:beforeAutospacing="0" w:afterAutospacing="0" w:line="558" w:lineRule="exact"/>
        <w:ind w:firstLine="642"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（七）资金拨付</w:t>
      </w:r>
      <w:r>
        <w:rPr>
          <w:rFonts w:hint="eastAsia" w:ascii="仿宋_GB2312" w:hAnsi="仿宋_GB2312" w:eastAsia="仿宋_GB2312" w:cs="仿宋_GB2312"/>
          <w:color w:val="000000"/>
          <w:kern w:val="2"/>
          <w:sz w:val="32"/>
          <w:szCs w:val="32"/>
        </w:rPr>
        <w:t>：经公示无异议的，完成资金拨付。</w:t>
      </w:r>
    </w:p>
    <w:p>
      <w:pPr>
        <w:spacing w:line="55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七、主责部门</w:t>
      </w:r>
    </w:p>
    <w:p>
      <w:pPr>
        <w:spacing w:line="558"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color w:val="000000"/>
          <w:sz w:val="32"/>
          <w:szCs w:val="32"/>
        </w:rPr>
        <w:t>北京市高级别自动驾驶示范区工作办公室</w:t>
      </w:r>
    </w:p>
    <w:p>
      <w:pPr>
        <w:spacing w:line="55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八、受理窗口</w:t>
      </w:r>
    </w:p>
    <w:p>
      <w:pPr>
        <w:spacing w:line="558"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line="55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九、申报时间</w:t>
      </w:r>
    </w:p>
    <w:p>
      <w:pPr>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2025年5月23日至2025年6月6日</w:t>
      </w:r>
    </w:p>
    <w:p>
      <w:pPr>
        <w:spacing w:line="55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十、联系方式</w:t>
      </w:r>
    </w:p>
    <w:p>
      <w:pPr>
        <w:spacing w:line="558" w:lineRule="exact"/>
        <w:ind w:firstLine="640" w:firstLineChars="200"/>
        <w:rPr>
          <w:rFonts w:eastAsia="仿宋_GB2312"/>
          <w:sz w:val="32"/>
          <w:szCs w:val="32"/>
        </w:rPr>
      </w:pPr>
      <w:r>
        <w:rPr>
          <w:rFonts w:hint="eastAsia" w:eastAsia="仿宋_GB2312"/>
          <w:sz w:val="32"/>
          <w:szCs w:val="32"/>
        </w:rPr>
        <w:t>政策咨询：</w:t>
      </w:r>
    </w:p>
    <w:p>
      <w:pPr>
        <w:spacing w:line="558"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58" w:lineRule="exact"/>
        <w:ind w:firstLine="640" w:firstLineChars="200"/>
        <w:rPr>
          <w:rFonts w:eastAsia="仿宋_GB2312"/>
          <w:sz w:val="32"/>
          <w:szCs w:val="32"/>
        </w:rPr>
      </w:pPr>
      <w:r>
        <w:rPr>
          <w:rFonts w:hint="eastAsia" w:ascii="仿宋_GB2312" w:hAnsi="仿宋_GB2312" w:eastAsia="仿宋_GB2312" w:cs="仿宋_GB2312"/>
          <w:color w:val="000000"/>
          <w:sz w:val="32"/>
          <w:szCs w:val="32"/>
        </w:rPr>
        <w:t>北京市高级别自动驾驶示范区工作办公室</w:t>
      </w:r>
      <w:r>
        <w:rPr>
          <w:rFonts w:hint="eastAsia" w:ascii="仿宋_GB2312" w:hAnsi="仿宋_GB2312" w:eastAsia="仿宋_GB2312" w:cs="仿宋_GB2312"/>
          <w:sz w:val="32"/>
          <w:szCs w:val="32"/>
        </w:rPr>
        <w:t>，联系人：刘子煜，联系电话：010-67887172，工作日上午9:00—12:00，下午2:00—6:00。</w:t>
      </w:r>
    </w:p>
    <w:p>
      <w:pPr>
        <w:spacing w:line="558" w:lineRule="exact"/>
        <w:ind w:firstLine="640" w:firstLineChars="200"/>
        <w:rPr>
          <w:rFonts w:eastAsia="仿宋_GB2312"/>
          <w:sz w:val="32"/>
          <w:szCs w:val="32"/>
        </w:rPr>
      </w:pPr>
      <w:r>
        <w:rPr>
          <w:rFonts w:hint="eastAsia" w:eastAsia="仿宋_GB2312"/>
          <w:sz w:val="32"/>
          <w:szCs w:val="32"/>
        </w:rPr>
        <w:t>技术支持：</w:t>
      </w:r>
    </w:p>
    <w:p>
      <w:pPr>
        <w:spacing w:line="558"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line="558"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5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十二、特别说明</w:t>
      </w:r>
    </w:p>
    <w:p>
      <w:pPr>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jc w:val="lef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2F"/>
    <w:rsid w:val="00075B00"/>
    <w:rsid w:val="001B3F1E"/>
    <w:rsid w:val="001E6399"/>
    <w:rsid w:val="003C097F"/>
    <w:rsid w:val="005A7C82"/>
    <w:rsid w:val="005E5C21"/>
    <w:rsid w:val="00612345"/>
    <w:rsid w:val="0076202F"/>
    <w:rsid w:val="009502E3"/>
    <w:rsid w:val="00A437FD"/>
    <w:rsid w:val="00A57B98"/>
    <w:rsid w:val="00AF2A4F"/>
    <w:rsid w:val="00B65C24"/>
    <w:rsid w:val="00BC35DF"/>
    <w:rsid w:val="00DB5E1F"/>
    <w:rsid w:val="018C0929"/>
    <w:rsid w:val="020527F3"/>
    <w:rsid w:val="022E7839"/>
    <w:rsid w:val="027C16B8"/>
    <w:rsid w:val="036C573B"/>
    <w:rsid w:val="04E84DE3"/>
    <w:rsid w:val="05522AFC"/>
    <w:rsid w:val="068B011B"/>
    <w:rsid w:val="069845E6"/>
    <w:rsid w:val="093E76C7"/>
    <w:rsid w:val="0A8B1EA6"/>
    <w:rsid w:val="0B2D7F83"/>
    <w:rsid w:val="0B4B40F9"/>
    <w:rsid w:val="0B8B471A"/>
    <w:rsid w:val="0BE300B2"/>
    <w:rsid w:val="0DE10274"/>
    <w:rsid w:val="0E7B29B2"/>
    <w:rsid w:val="10034FC3"/>
    <w:rsid w:val="108550E0"/>
    <w:rsid w:val="11CC5D32"/>
    <w:rsid w:val="11F42600"/>
    <w:rsid w:val="13AE5A48"/>
    <w:rsid w:val="15DF01E8"/>
    <w:rsid w:val="17253C74"/>
    <w:rsid w:val="175E7186"/>
    <w:rsid w:val="196D545F"/>
    <w:rsid w:val="1B1939FA"/>
    <w:rsid w:val="1BA55326"/>
    <w:rsid w:val="1D645145"/>
    <w:rsid w:val="1E432C32"/>
    <w:rsid w:val="1F62533A"/>
    <w:rsid w:val="1FF40ADE"/>
    <w:rsid w:val="20BD3C4E"/>
    <w:rsid w:val="21050A76"/>
    <w:rsid w:val="21A84265"/>
    <w:rsid w:val="21F67D6C"/>
    <w:rsid w:val="220B170D"/>
    <w:rsid w:val="222A1620"/>
    <w:rsid w:val="22610E74"/>
    <w:rsid w:val="22DF28DC"/>
    <w:rsid w:val="230A5C9B"/>
    <w:rsid w:val="260E3B25"/>
    <w:rsid w:val="272D5FC2"/>
    <w:rsid w:val="27385A78"/>
    <w:rsid w:val="27682BAB"/>
    <w:rsid w:val="276B0402"/>
    <w:rsid w:val="27E77CD2"/>
    <w:rsid w:val="294E0E09"/>
    <w:rsid w:val="295039D0"/>
    <w:rsid w:val="2ADB095F"/>
    <w:rsid w:val="2B2C14B4"/>
    <w:rsid w:val="2BAA7621"/>
    <w:rsid w:val="2BD06B0F"/>
    <w:rsid w:val="2C637962"/>
    <w:rsid w:val="2D103009"/>
    <w:rsid w:val="2E24417A"/>
    <w:rsid w:val="2E89520A"/>
    <w:rsid w:val="2F1C2DB2"/>
    <w:rsid w:val="2F2148C9"/>
    <w:rsid w:val="2F7C27CA"/>
    <w:rsid w:val="2F9652B7"/>
    <w:rsid w:val="2FAC11D8"/>
    <w:rsid w:val="3073557C"/>
    <w:rsid w:val="30C23E8A"/>
    <w:rsid w:val="310874EC"/>
    <w:rsid w:val="31A83080"/>
    <w:rsid w:val="329B4993"/>
    <w:rsid w:val="32DD4FAB"/>
    <w:rsid w:val="3464289C"/>
    <w:rsid w:val="34DF7F4F"/>
    <w:rsid w:val="37936580"/>
    <w:rsid w:val="37FC5ED4"/>
    <w:rsid w:val="38DE1A7D"/>
    <w:rsid w:val="39BD78E5"/>
    <w:rsid w:val="3AEC57BB"/>
    <w:rsid w:val="3BC74A4B"/>
    <w:rsid w:val="3BC96D33"/>
    <w:rsid w:val="3D783084"/>
    <w:rsid w:val="3DDF42CD"/>
    <w:rsid w:val="3DF41B76"/>
    <w:rsid w:val="3E973CDA"/>
    <w:rsid w:val="3ECF4342"/>
    <w:rsid w:val="402C1320"/>
    <w:rsid w:val="444D7109"/>
    <w:rsid w:val="44746C5F"/>
    <w:rsid w:val="448D589E"/>
    <w:rsid w:val="44DC1567"/>
    <w:rsid w:val="44F13BA3"/>
    <w:rsid w:val="45682DFA"/>
    <w:rsid w:val="45796DB6"/>
    <w:rsid w:val="4621394B"/>
    <w:rsid w:val="46B31543"/>
    <w:rsid w:val="46D3580A"/>
    <w:rsid w:val="48BB76E5"/>
    <w:rsid w:val="49B32EE2"/>
    <w:rsid w:val="4A1E7312"/>
    <w:rsid w:val="4B180E1F"/>
    <w:rsid w:val="4C72338E"/>
    <w:rsid w:val="4DB50BA7"/>
    <w:rsid w:val="4F4D386C"/>
    <w:rsid w:val="4F7C4428"/>
    <w:rsid w:val="4FE61EC7"/>
    <w:rsid w:val="4FE63853"/>
    <w:rsid w:val="50CE4A5A"/>
    <w:rsid w:val="51CC5472"/>
    <w:rsid w:val="53151F1F"/>
    <w:rsid w:val="54554E92"/>
    <w:rsid w:val="54636DE6"/>
    <w:rsid w:val="548F2152"/>
    <w:rsid w:val="54EA55DA"/>
    <w:rsid w:val="56494582"/>
    <w:rsid w:val="592858A0"/>
    <w:rsid w:val="59BA41A7"/>
    <w:rsid w:val="59CB760E"/>
    <w:rsid w:val="5B336962"/>
    <w:rsid w:val="5B5419FF"/>
    <w:rsid w:val="5BFFEB11"/>
    <w:rsid w:val="5C3B671B"/>
    <w:rsid w:val="5D061DC5"/>
    <w:rsid w:val="5D137698"/>
    <w:rsid w:val="5DAE574E"/>
    <w:rsid w:val="5EA2643C"/>
    <w:rsid w:val="61B45B33"/>
    <w:rsid w:val="61FA38A4"/>
    <w:rsid w:val="62675B5F"/>
    <w:rsid w:val="626B5013"/>
    <w:rsid w:val="62DE42A4"/>
    <w:rsid w:val="645C0974"/>
    <w:rsid w:val="64B870CB"/>
    <w:rsid w:val="651A36E6"/>
    <w:rsid w:val="65670581"/>
    <w:rsid w:val="65817895"/>
    <w:rsid w:val="660202AA"/>
    <w:rsid w:val="6623094C"/>
    <w:rsid w:val="66F978FF"/>
    <w:rsid w:val="686B0256"/>
    <w:rsid w:val="689D13F5"/>
    <w:rsid w:val="68F44821"/>
    <w:rsid w:val="697E40EB"/>
    <w:rsid w:val="6A4E0A03"/>
    <w:rsid w:val="6A5A06B4"/>
    <w:rsid w:val="6D1B05CF"/>
    <w:rsid w:val="6E4F2930"/>
    <w:rsid w:val="6E8606A6"/>
    <w:rsid w:val="6EAE733F"/>
    <w:rsid w:val="6F6B7E9D"/>
    <w:rsid w:val="7072464A"/>
    <w:rsid w:val="709D12FB"/>
    <w:rsid w:val="71883E24"/>
    <w:rsid w:val="726E2F4F"/>
    <w:rsid w:val="731E2BC7"/>
    <w:rsid w:val="737B6FED"/>
    <w:rsid w:val="73E01C2A"/>
    <w:rsid w:val="75CB7434"/>
    <w:rsid w:val="76E92CF5"/>
    <w:rsid w:val="76FB4FCD"/>
    <w:rsid w:val="78175941"/>
    <w:rsid w:val="78E859CB"/>
    <w:rsid w:val="7C264AB5"/>
    <w:rsid w:val="7CEF6526"/>
    <w:rsid w:val="7DF46895"/>
    <w:rsid w:val="7E3E411D"/>
    <w:rsid w:val="7E463EB8"/>
    <w:rsid w:val="7E722019"/>
    <w:rsid w:val="7F7122D0"/>
    <w:rsid w:val="7F8B5CFA"/>
    <w:rsid w:val="EACD68E7"/>
    <w:rsid w:val="FFD6B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0" w:leftChars="0" w:firstLine="420"/>
    </w:pPr>
    <w:rPr>
      <w:rFonts w:ascii="仿宋_GB2312" w:hAnsi="Calibri" w:eastAsia="仿宋_GB2312" w:cs="仿宋_GB2312"/>
      <w:sz w:val="32"/>
      <w:szCs w:val="32"/>
    </w:rPr>
  </w:style>
  <w:style w:type="paragraph" w:styleId="3">
    <w:name w:val="Body Text Indent"/>
    <w:basedOn w:val="1"/>
    <w:next w:val="2"/>
    <w:unhideWhenUsed/>
    <w:qFormat/>
    <w:uiPriority w:val="99"/>
    <w:pPr>
      <w:spacing w:after="120"/>
      <w:ind w:left="420" w:leftChars="200"/>
    </w:pPr>
  </w:style>
  <w:style w:type="paragraph" w:styleId="4">
    <w:name w:val="annotation text"/>
    <w:basedOn w:val="1"/>
    <w:link w:val="17"/>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4"/>
    <w:next w:val="4"/>
    <w:link w:val="18"/>
    <w:qFormat/>
    <w:uiPriority w:val="0"/>
    <w:rPr>
      <w:b/>
      <w:bCs/>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styleId="14">
    <w:name w:val="footnote reference"/>
    <w:basedOn w:val="11"/>
    <w:qFormat/>
    <w:uiPriority w:val="0"/>
    <w:rPr>
      <w:vertAlign w:val="superscript"/>
    </w:rPr>
  </w:style>
  <w:style w:type="paragraph" w:customStyle="1" w:styleId="15">
    <w:name w:val="p1"/>
    <w:basedOn w:val="1"/>
    <w:qFormat/>
    <w:uiPriority w:val="0"/>
    <w:pPr>
      <w:widowControl/>
      <w:spacing w:before="100" w:beforeAutospacing="1" w:after="100" w:afterAutospacing="1"/>
      <w:jc w:val="left"/>
    </w:pPr>
    <w:rPr>
      <w:rFonts w:eastAsia="Times New Roman"/>
      <w:kern w:val="0"/>
      <w:sz w:val="24"/>
    </w:rPr>
  </w:style>
  <w:style w:type="paragraph" w:customStyle="1" w:styleId="1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qFormat/>
    <w:uiPriority w:val="0"/>
    <w:rPr>
      <w:rFonts w:asciiTheme="minorHAnsi" w:hAnsiTheme="minorHAnsi" w:eastAsiaTheme="minorEastAsia" w:cstheme="minorBidi"/>
      <w:b/>
      <w:bCs/>
      <w:kern w:val="2"/>
      <w:sz w:val="21"/>
      <w:szCs w:val="24"/>
    </w:rPr>
  </w:style>
  <w:style w:type="paragraph" w:customStyle="1" w:styleId="19">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1562</Characters>
  <Lines>13</Lines>
  <Paragraphs>3</Paragraphs>
  <TotalTime>39</TotalTime>
  <ScaleCrop>false</ScaleCrop>
  <LinksUpToDate>false</LinksUpToDate>
  <CharactersWithSpaces>1833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2025-04-29T11:15:00Z</dcterms:created>
  <dc:creator>吴金泉</dc:creator>
  <cp:lastModifiedBy>BDA</cp:lastModifiedBy>
  <cp:lastPrinted>2025-04-21T08:47:00Z</cp:lastPrinted>
  <dcterms:modified xsi:type="dcterms:W3CDTF">2025-05-20T15:21:35Z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KSOTemplateDocerSaveRecord">
    <vt:lpwstr>eyJoZGlkIjoiYjE4MDdmMGFlMTkwNzg4OWY3Njc4MmRmMTI0NGIwOGMiLCJ1c2VySWQiOiI0MzQxMTg4OTYifQ==</vt:lpwstr>
  </property>
  <property fmtid="{D5CDD505-2E9C-101B-9397-08002B2CF9AE}" pid="4" name="ICV">
    <vt:lpwstr>8F622EAE8803B71692F4ED6787BD05D4</vt:lpwstr>
  </property>
</Properties>
</file>