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024FE">
      <w:pPr>
        <w:adjustRightInd w:val="0"/>
        <w:spacing w:after="0" w:line="560" w:lineRule="exact"/>
        <w:jc w:val="center"/>
        <w:rPr>
          <w:rFonts w:hint="eastAsia" w:ascii="黑体" w:hAnsi="黑体" w:eastAsia="黑体"/>
          <w:sz w:val="44"/>
          <w:szCs w:val="44"/>
        </w:rPr>
      </w:pPr>
      <w:r>
        <w:rPr>
          <w:rFonts w:hint="eastAsia" w:ascii="黑体" w:hAnsi="黑体" w:eastAsia="黑体"/>
          <w:sz w:val="44"/>
          <w:szCs w:val="44"/>
        </w:rPr>
        <w:t>北京市西城区关于加强资本市场生态建设和促进上市公司高质量发展的若干措施</w:t>
      </w:r>
    </w:p>
    <w:p w14:paraId="1057EE15">
      <w:pPr>
        <w:pStyle w:val="8"/>
        <w:widowControl/>
        <w:adjustRightInd w:val="0"/>
        <w:snapToGrid w:val="0"/>
        <w:spacing w:line="560" w:lineRule="exact"/>
        <w:jc w:val="center"/>
        <w:textAlignment w:val="baseline"/>
        <w:rPr>
          <w:rFonts w:ascii="方正小标宋简体" w:hAnsi="Times New Roman" w:eastAsia="方正小标宋简体" w:cs="方正小标宋简体"/>
          <w:sz w:val="40"/>
          <w:szCs w:val="40"/>
          <w:lang w:bidi="ar"/>
        </w:rPr>
      </w:pPr>
      <w:r>
        <w:rPr>
          <w:rFonts w:hint="eastAsia" w:ascii="方正小标宋简体" w:hAnsi="Times New Roman" w:eastAsia="方正小标宋简体" w:cs="方正小标宋简体"/>
          <w:sz w:val="40"/>
          <w:szCs w:val="40"/>
          <w:lang w:bidi="ar"/>
        </w:rPr>
        <w:t>（</w:t>
      </w:r>
      <w:r>
        <w:rPr>
          <w:rFonts w:hint="eastAsia" w:ascii="方正小标宋简体" w:hAnsi="Times New Roman" w:eastAsia="方正小标宋简体" w:cs="方正小标宋简体"/>
          <w:sz w:val="40"/>
          <w:szCs w:val="40"/>
          <w:lang w:eastAsia="zh-CN" w:bidi="ar"/>
        </w:rPr>
        <w:t>征求意见</w:t>
      </w:r>
      <w:r>
        <w:rPr>
          <w:rFonts w:hint="eastAsia" w:ascii="方正小标宋简体" w:hAnsi="Times New Roman" w:eastAsia="方正小标宋简体" w:cs="方正小标宋简体"/>
          <w:sz w:val="40"/>
          <w:szCs w:val="40"/>
          <w:lang w:bidi="ar"/>
        </w:rPr>
        <w:t>稿）</w:t>
      </w:r>
    </w:p>
    <w:p w14:paraId="18554BE3">
      <w:pPr>
        <w:adjustRightInd w:val="0"/>
        <w:spacing w:line="560" w:lineRule="exact"/>
        <w:ind w:firstLine="640" w:firstLineChars="200"/>
        <w:jc w:val="both"/>
        <w:rPr>
          <w:rFonts w:hint="eastAsia" w:ascii="黑体" w:hAnsi="黑体" w:eastAsia="黑体"/>
          <w:sz w:val="32"/>
          <w:szCs w:val="32"/>
        </w:rPr>
      </w:pPr>
    </w:p>
    <w:p w14:paraId="1B4CF60B">
      <w:pPr>
        <w:adjustRightInd w:val="0"/>
        <w:snapToGrid w:val="0"/>
        <w:spacing w:line="560" w:lineRule="exact"/>
        <w:ind w:firstLine="640" w:firstLineChars="200"/>
        <w:jc w:val="both"/>
        <w:rPr>
          <w:rFonts w:hint="eastAsia" w:ascii="黑体" w:hAnsi="黑体" w:eastAsia="黑体"/>
          <w:sz w:val="32"/>
          <w:szCs w:val="32"/>
        </w:rPr>
      </w:pPr>
      <w:r>
        <w:rPr>
          <w:rFonts w:hint="eastAsia" w:ascii="仿宋_GB2312" w:eastAsia="仿宋_GB2312"/>
          <w:sz w:val="32"/>
          <w:szCs w:val="32"/>
        </w:rPr>
        <w:t>为强化金融街国家金融管理中心功能建设，扎实做好金融“五篇大文章”，不断优化金融产业体系，</w:t>
      </w:r>
      <w:r>
        <w:rPr>
          <w:rFonts w:hint="eastAsia" w:ascii="仿宋_GB2312" w:eastAsia="仿宋_GB2312"/>
          <w:sz w:val="32"/>
          <w:szCs w:val="32"/>
          <w:lang w:eastAsia="zh-CN"/>
        </w:rPr>
        <w:t>服务</w:t>
      </w:r>
      <w:r>
        <w:rPr>
          <w:rFonts w:hint="eastAsia" w:ascii="仿宋_GB2312" w:eastAsia="仿宋_GB2312"/>
          <w:sz w:val="32"/>
          <w:szCs w:val="32"/>
        </w:rPr>
        <w:t>北京证券交易所（以下简称“北交所”）充分发挥</w:t>
      </w:r>
      <w:bookmarkStart w:id="0" w:name="_GoBack"/>
      <w:bookmarkEnd w:id="0"/>
      <w:r>
        <w:rPr>
          <w:rFonts w:hint="eastAsia" w:ascii="仿宋_GB2312" w:eastAsia="仿宋_GB2312"/>
          <w:sz w:val="32"/>
          <w:szCs w:val="32"/>
        </w:rPr>
        <w:t>服务创新型中小企业主阵地作用，提升北交所服务普惠金融的效能，加强金融街资本市场生态建设，促进上市公司高质量发展，制定本措施。</w:t>
      </w:r>
    </w:p>
    <w:p w14:paraId="7287CEC6">
      <w:pPr>
        <w:adjustRightInd w:val="0"/>
        <w:snapToGrid w:val="0"/>
        <w:spacing w:line="560" w:lineRule="exact"/>
        <w:ind w:firstLine="640" w:firstLineChars="200"/>
        <w:jc w:val="both"/>
        <w:rPr>
          <w:rFonts w:hint="eastAsia" w:ascii="黑体" w:hAnsi="黑体" w:eastAsia="黑体"/>
          <w:color w:val="0000FF"/>
          <w:sz w:val="32"/>
          <w:szCs w:val="32"/>
        </w:rPr>
      </w:pPr>
      <w:r>
        <w:rPr>
          <w:rFonts w:hint="eastAsia" w:ascii="黑体" w:hAnsi="黑体" w:eastAsia="黑体"/>
          <w:sz w:val="32"/>
          <w:szCs w:val="32"/>
        </w:rPr>
        <w:t>一、全力支持保障北交所高质量发展</w:t>
      </w:r>
    </w:p>
    <w:p w14:paraId="647D5286">
      <w:pPr>
        <w:adjustRightInd w:val="0"/>
        <w:snapToGrid w:val="0"/>
        <w:spacing w:line="560" w:lineRule="exact"/>
        <w:ind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（一）支持北交所持续丰富产品体系。服务保障</w:t>
      </w:r>
      <w:r>
        <w:rPr>
          <w:rFonts w:hint="eastAsia" w:ascii="仿宋_GB2312" w:eastAsia="仿宋_GB2312"/>
          <w:sz w:val="32"/>
          <w:szCs w:val="32"/>
        </w:rPr>
        <w:t>北交所高标准建设政府债券市场，推进信用债市场建设，</w:t>
      </w:r>
      <w:r>
        <w:rPr>
          <w:rFonts w:hint="eastAsia" w:ascii="仿宋_GB2312" w:eastAsia="仿宋_GB2312"/>
          <w:sz w:val="32"/>
          <w:szCs w:val="32"/>
          <w:lang w:eastAsia="zh-CN"/>
        </w:rPr>
        <w:t>研究</w:t>
      </w:r>
      <w:r>
        <w:rPr>
          <w:rFonts w:hint="eastAsia" w:ascii="仿宋_GB2312" w:eastAsia="仿宋_GB2312"/>
          <w:sz w:val="32"/>
          <w:szCs w:val="32"/>
        </w:rPr>
        <w:t>推出公开发行可转债。丰富北交所指数体系，稳步扩大指数化投资，持续开展北交所交易型开放式指数基金（ETF）、上市开放式基金（LOF）、公募不动产投资信托基金（REITs）、资产证券化等产品研究。</w:t>
      </w:r>
    </w:p>
    <w:p w14:paraId="6C85E102">
      <w:pPr>
        <w:adjustRightInd w:val="0"/>
        <w:snapToGrid w:val="0"/>
        <w:spacing w:line="560" w:lineRule="exact"/>
        <w:ind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（二）支持北交所提升法治化建设水平。</w:t>
      </w:r>
      <w:r>
        <w:rPr>
          <w:rFonts w:hint="eastAsia" w:ascii="仿宋_GB2312" w:eastAsia="仿宋_GB2312"/>
          <w:sz w:val="32"/>
          <w:szCs w:val="32"/>
        </w:rPr>
        <w:t>发挥北京金融法院、金融街基层立法联系点、北京金融街合作发展理事会金融法治建设专业委员会的功能和作用，汇集</w:t>
      </w:r>
      <w:r>
        <w:rPr>
          <w:rFonts w:hint="eastAsia" w:ascii="仿宋_GB2312" w:eastAsia="仿宋_GB2312"/>
          <w:sz w:val="32"/>
          <w:szCs w:val="32"/>
          <w:lang w:eastAsia="zh-CN"/>
        </w:rPr>
        <w:t>基层</w:t>
      </w:r>
      <w:r>
        <w:rPr>
          <w:rFonts w:hint="eastAsia" w:ascii="仿宋_GB2312" w:eastAsia="仿宋_GB2312"/>
          <w:sz w:val="32"/>
          <w:szCs w:val="32"/>
        </w:rPr>
        <w:t>意见和建议，助力北交所</w:t>
      </w:r>
      <w:r>
        <w:rPr>
          <w:rFonts w:hint="eastAsia" w:ascii="仿宋_GB2312" w:eastAsia="仿宋_GB2312"/>
          <w:sz w:val="32"/>
          <w:szCs w:val="32"/>
          <w:lang w:eastAsia="zh-CN"/>
        </w:rPr>
        <w:t>市场</w:t>
      </w:r>
      <w:r>
        <w:rPr>
          <w:rFonts w:hint="eastAsia" w:ascii="仿宋_GB2312" w:eastAsia="仿宋_GB2312"/>
          <w:sz w:val="32"/>
          <w:szCs w:val="32"/>
          <w:lang w:val="en-US" w:eastAsia="zh-CN"/>
        </w:rPr>
        <w:t>法治建设</w:t>
      </w:r>
      <w:r>
        <w:rPr>
          <w:rFonts w:hint="eastAsia" w:ascii="仿宋_GB2312" w:eastAsia="仿宋_GB2312"/>
          <w:sz w:val="32"/>
          <w:szCs w:val="32"/>
          <w:lang w:eastAsia="zh-CN"/>
        </w:rPr>
        <w:t>。</w:t>
      </w:r>
      <w:r>
        <w:rPr>
          <w:rFonts w:hint="eastAsia" w:ascii="仿宋_GB2312" w:eastAsia="仿宋_GB2312"/>
          <w:sz w:val="32"/>
          <w:szCs w:val="32"/>
        </w:rPr>
        <w:t>支持北交所不断健全投资者保护长效机制，</w:t>
      </w:r>
      <w:r>
        <w:rPr>
          <w:rFonts w:hint="eastAsia" w:ascii="仿宋_GB2312" w:eastAsia="仿宋_GB2312"/>
          <w:sz w:val="32"/>
          <w:szCs w:val="32"/>
          <w:lang w:eastAsia="zh-CN"/>
        </w:rPr>
        <w:t>开展法治</w:t>
      </w:r>
      <w:r>
        <w:rPr>
          <w:rFonts w:hint="eastAsia" w:ascii="仿宋_GB2312" w:eastAsia="仿宋_GB2312"/>
          <w:sz w:val="32"/>
          <w:szCs w:val="32"/>
        </w:rPr>
        <w:t>宣传</w:t>
      </w:r>
      <w:r>
        <w:rPr>
          <w:rFonts w:hint="eastAsia" w:ascii="仿宋_GB2312" w:eastAsia="仿宋_GB2312"/>
          <w:sz w:val="32"/>
          <w:szCs w:val="32"/>
          <w:lang w:eastAsia="zh-CN"/>
        </w:rPr>
        <w:t>与教育</w:t>
      </w:r>
      <w:r>
        <w:rPr>
          <w:rFonts w:hint="eastAsia" w:ascii="仿宋_GB2312" w:eastAsia="仿宋_GB2312"/>
          <w:sz w:val="32"/>
          <w:szCs w:val="32"/>
        </w:rPr>
        <w:t>，</w:t>
      </w:r>
      <w:r>
        <w:rPr>
          <w:rFonts w:hint="eastAsia" w:ascii="仿宋_GB2312" w:eastAsia="仿宋_GB2312"/>
          <w:sz w:val="32"/>
          <w:szCs w:val="32"/>
          <w:lang w:val="en-US" w:eastAsia="zh-CN"/>
        </w:rPr>
        <w:t>构建特色化法治环境</w:t>
      </w:r>
      <w:r>
        <w:rPr>
          <w:rFonts w:hint="eastAsia" w:ascii="仿宋_GB2312" w:eastAsia="仿宋_GB2312"/>
          <w:sz w:val="32"/>
          <w:szCs w:val="32"/>
        </w:rPr>
        <w:t>。</w:t>
      </w:r>
    </w:p>
    <w:p w14:paraId="2CA993F3">
      <w:pPr>
        <w:adjustRightInd w:val="0"/>
        <w:snapToGrid w:val="0"/>
        <w:spacing w:line="56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rPr>
        <w:t>（三）支持北交所提升国际化水平。</w:t>
      </w:r>
      <w:r>
        <w:rPr>
          <w:rFonts w:hint="eastAsia" w:ascii="仿宋_GB2312" w:eastAsia="仿宋_GB2312"/>
          <w:sz w:val="32"/>
          <w:szCs w:val="32"/>
          <w:lang w:eastAsia="zh-CN"/>
        </w:rPr>
        <w:t>依托金融街论坛年会及系列活动机制，搭建常态化沟通互动平台，</w:t>
      </w:r>
      <w:r>
        <w:rPr>
          <w:rFonts w:hint="eastAsia" w:ascii="仿宋_GB2312" w:eastAsia="仿宋_GB2312"/>
          <w:sz w:val="32"/>
          <w:szCs w:val="32"/>
        </w:rPr>
        <w:t>支持北交所加强同境外交易所的合作交流，建立常态化的互动和沟通机制。积极支持国际金融机构参与北交所发展，不断提升北交所的国际影响力。</w:t>
      </w:r>
      <w:r>
        <w:rPr>
          <w:rFonts w:hint="eastAsia" w:ascii="仿宋_GB2312" w:eastAsia="仿宋_GB2312"/>
          <w:sz w:val="32"/>
          <w:szCs w:val="32"/>
          <w:lang w:eastAsia="zh-CN"/>
        </w:rPr>
        <w:t>发挥驻区资源优势，</w:t>
      </w:r>
      <w:r>
        <w:rPr>
          <w:rFonts w:hint="eastAsia" w:ascii="仿宋_GB2312" w:eastAsia="仿宋_GB2312"/>
          <w:sz w:val="32"/>
          <w:szCs w:val="32"/>
        </w:rPr>
        <w:t>支持符合条件的北交所上市公司依规在港交所上市。</w:t>
      </w:r>
    </w:p>
    <w:p w14:paraId="658131F9">
      <w:pPr>
        <w:adjustRightInd w:val="0"/>
        <w:snapToGrid w:val="0"/>
        <w:spacing w:line="560" w:lineRule="exact"/>
        <w:ind w:firstLine="640" w:firstLineChars="200"/>
        <w:jc w:val="both"/>
        <w:rPr>
          <w:rFonts w:hint="eastAsia" w:ascii="仿宋_GB2312" w:eastAsia="仿宋_GB2312"/>
          <w:sz w:val="32"/>
          <w:szCs w:val="32"/>
          <w:lang w:eastAsia="zh-CN"/>
        </w:rPr>
      </w:pPr>
      <w:r>
        <w:rPr>
          <w:rFonts w:hint="eastAsia" w:ascii="楷体_GB2312" w:hAnsi="楷体_GB2312" w:eastAsia="楷体_GB2312" w:cs="楷体_GB2312"/>
          <w:sz w:val="32"/>
          <w:szCs w:val="32"/>
        </w:rPr>
        <w:t>（四）服务保障北交所</w:t>
      </w:r>
      <w:r>
        <w:rPr>
          <w:rFonts w:hint="eastAsia" w:ascii="楷体_GB2312" w:hAnsi="楷体_GB2312" w:eastAsia="楷体_GB2312" w:cs="楷体_GB2312"/>
          <w:sz w:val="32"/>
          <w:szCs w:val="32"/>
          <w:lang w:eastAsia="zh-CN"/>
        </w:rPr>
        <w:t>高效运转</w:t>
      </w:r>
      <w:r>
        <w:rPr>
          <w:rFonts w:hint="eastAsia" w:ascii="楷体_GB2312" w:hAnsi="楷体_GB2312" w:eastAsia="楷体_GB2312" w:cs="楷体_GB2312"/>
          <w:sz w:val="32"/>
          <w:szCs w:val="32"/>
        </w:rPr>
        <w:t>。</w:t>
      </w:r>
      <w:r>
        <w:rPr>
          <w:rFonts w:hint="eastAsia" w:ascii="仿宋_GB2312" w:eastAsia="仿宋_GB2312"/>
          <w:sz w:val="32"/>
          <w:szCs w:val="32"/>
        </w:rPr>
        <w:t>依托北京金融街</w:t>
      </w:r>
      <w:r>
        <w:rPr>
          <w:rFonts w:hint="eastAsia" w:ascii="仿宋_GB2312" w:eastAsia="仿宋_GB2312"/>
          <w:sz w:val="32"/>
          <w:szCs w:val="32"/>
          <w:lang w:eastAsia="zh-CN"/>
        </w:rPr>
        <w:t>国家金融管理中心</w:t>
      </w:r>
      <w:r>
        <w:rPr>
          <w:rFonts w:hint="eastAsia" w:ascii="仿宋_GB2312" w:eastAsia="仿宋_GB2312"/>
          <w:sz w:val="32"/>
          <w:szCs w:val="32"/>
        </w:rPr>
        <w:t>战略定位、资源禀赋、政策服务等优势，营造良好的营商环境、金融法治环境和金融街区域配套发展环</w:t>
      </w:r>
      <w:r>
        <w:rPr>
          <w:rFonts w:hint="eastAsia" w:ascii="仿宋_GB2312" w:eastAsia="仿宋_GB2312"/>
          <w:sz w:val="32"/>
          <w:szCs w:val="32"/>
          <w:lang w:eastAsia="zh-CN"/>
        </w:rPr>
        <w:t>境，积极协调各类资源，全力保障北交所安全、平稳、有序运转。支持北交所发挥好改革试验田作用</w:t>
      </w:r>
      <w:r>
        <w:rPr>
          <w:rFonts w:hint="eastAsia" w:ascii="仿宋_GB2312" w:eastAsia="仿宋_GB2312"/>
          <w:sz w:val="32"/>
          <w:szCs w:val="32"/>
          <w:lang w:val="en-US" w:eastAsia="zh-CN"/>
        </w:rPr>
        <w:t>,</w:t>
      </w:r>
      <w:r>
        <w:rPr>
          <w:rFonts w:hint="eastAsia" w:ascii="仿宋_GB2312" w:eastAsia="仿宋_GB2312"/>
          <w:sz w:val="32"/>
          <w:szCs w:val="32"/>
          <w:lang w:eastAsia="zh-CN"/>
        </w:rPr>
        <w:t>在发行上市、交易机制、产品创新、风险防控等方面积极探索</w:t>
      </w:r>
      <w:r>
        <w:rPr>
          <w:rFonts w:hint="eastAsia" w:ascii="仿宋_GB2312" w:eastAsia="仿宋_GB2312"/>
          <w:sz w:val="32"/>
          <w:szCs w:val="32"/>
          <w:lang w:val="en-US" w:eastAsia="zh-CN"/>
        </w:rPr>
        <w:t>,</w:t>
      </w:r>
      <w:r>
        <w:rPr>
          <w:rFonts w:hint="eastAsia" w:ascii="仿宋_GB2312" w:eastAsia="仿宋_GB2312"/>
          <w:sz w:val="32"/>
          <w:szCs w:val="32"/>
          <w:lang w:eastAsia="zh-CN"/>
        </w:rPr>
        <w:t>营造良好市场环境。</w:t>
      </w:r>
    </w:p>
    <w:p w14:paraId="74834421">
      <w:pPr>
        <w:adjustRightInd w:val="0"/>
        <w:snapToGrid w:val="0"/>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二、持续优化资本市场生态建设</w:t>
      </w:r>
    </w:p>
    <w:p w14:paraId="27553965">
      <w:pPr>
        <w:adjustRightInd w:val="0"/>
        <w:spacing w:line="560" w:lineRule="exact"/>
        <w:ind w:firstLine="640" w:firstLineChars="200"/>
        <w:jc w:val="both"/>
        <w:rPr>
          <w:rFonts w:hint="eastAsia" w:ascii="仿宋_GB2312" w:eastAsia="仿宋_GB2312"/>
          <w:color w:val="0000FF"/>
          <w:sz w:val="32"/>
          <w:szCs w:val="32"/>
          <w:lang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eastAsia="zh-CN"/>
        </w:rPr>
        <w:t>营造优质的上市服务环境。</w:t>
      </w:r>
      <w:r>
        <w:rPr>
          <w:rFonts w:hint="eastAsia" w:ascii="仿宋_GB2312" w:eastAsia="仿宋_GB2312" w:cstheme="minorBidi"/>
          <w:sz w:val="32"/>
          <w:szCs w:val="32"/>
          <w:lang w:eastAsia="zh-CN"/>
        </w:rPr>
        <w:t>积极发挥资本市场功能，支持证券公司、</w:t>
      </w:r>
      <w:r>
        <w:rPr>
          <w:rFonts w:hint="eastAsia" w:ascii="仿宋_GB2312" w:eastAsia="仿宋_GB2312"/>
          <w:sz w:val="32"/>
          <w:szCs w:val="32"/>
          <w:highlight w:val="none"/>
        </w:rPr>
        <w:t>金融资产投资公司、公募基金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私募基金</w:t>
      </w:r>
      <w:r>
        <w:rPr>
          <w:rFonts w:hint="eastAsia" w:ascii="仿宋_GB2312" w:eastAsia="仿宋_GB2312"/>
          <w:sz w:val="32"/>
          <w:szCs w:val="32"/>
          <w:highlight w:val="none"/>
          <w:lang w:eastAsia="zh-CN"/>
        </w:rPr>
        <w:t>、创业投资机构等</w:t>
      </w:r>
      <w:r>
        <w:rPr>
          <w:rFonts w:hint="eastAsia" w:ascii="仿宋_GB2312" w:eastAsia="仿宋_GB2312"/>
          <w:sz w:val="32"/>
          <w:szCs w:val="32"/>
        </w:rPr>
        <w:t>集聚发展</w:t>
      </w:r>
      <w:r>
        <w:rPr>
          <w:rFonts w:hint="eastAsia" w:ascii="仿宋_GB2312" w:eastAsia="仿宋_GB2312"/>
          <w:sz w:val="32"/>
          <w:szCs w:val="32"/>
          <w:lang w:val="en-US" w:eastAsia="zh-CN"/>
        </w:rPr>
        <w:t>,</w:t>
      </w:r>
      <w:r>
        <w:rPr>
          <w:rFonts w:hint="eastAsia" w:ascii="仿宋_GB2312" w:eastAsia="仿宋_GB2312"/>
          <w:sz w:val="32"/>
          <w:szCs w:val="32"/>
          <w:lang w:eastAsia="zh-CN"/>
        </w:rPr>
        <w:t>为企业上市提供专业投资与保荐</w:t>
      </w:r>
      <w:r>
        <w:rPr>
          <w:rFonts w:hint="eastAsia" w:ascii="仿宋_GB2312" w:eastAsia="仿宋_GB2312"/>
          <w:sz w:val="32"/>
          <w:szCs w:val="32"/>
          <w:highlight w:val="none"/>
          <w:lang w:eastAsia="zh-CN"/>
        </w:rPr>
        <w:t>，加强对科技型企业全链条金融服务。根据重点企业发展专项支持政策，对符合条件的机构给予相应资金支持。</w:t>
      </w:r>
    </w:p>
    <w:p w14:paraId="41CD3D4B">
      <w:pPr>
        <w:adjustRightInd w:val="0"/>
        <w:snapToGrid w:val="0"/>
        <w:spacing w:line="560" w:lineRule="exact"/>
        <w:ind w:firstLine="640" w:firstLineChars="200"/>
        <w:jc w:val="both"/>
        <w:rPr>
          <w:rFonts w:hint="eastAsia" w:ascii="仿宋_GB2312" w:eastAsia="仿宋_GB2312"/>
          <w:color w:val="0000FF"/>
          <w:sz w:val="32"/>
          <w:szCs w:val="32"/>
          <w:lang w:eastAsia="zh-CN"/>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构建多元化专业服务机构体系。</w:t>
      </w:r>
      <w:r>
        <w:rPr>
          <w:rFonts w:hint="eastAsia" w:ascii="仿宋_GB2312" w:eastAsia="仿宋_GB2312"/>
          <w:sz w:val="32"/>
          <w:szCs w:val="32"/>
          <w:lang w:eastAsia="zh-CN"/>
        </w:rPr>
        <w:t>依托</w:t>
      </w:r>
      <w:r>
        <w:rPr>
          <w:rFonts w:hint="eastAsia" w:ascii="仿宋_GB2312" w:eastAsia="仿宋_GB2312"/>
          <w:sz w:val="32"/>
          <w:szCs w:val="32"/>
        </w:rPr>
        <w:t>北交所功能外溢效应，推进产业链、价值链融合发展，积极发</w:t>
      </w:r>
      <w:r>
        <w:rPr>
          <w:rFonts w:hint="eastAsia" w:ascii="仿宋_GB2312" w:hAnsi="仿宋_GB2312" w:eastAsia="仿宋_GB2312" w:cs="仿宋_GB2312"/>
          <w:sz w:val="32"/>
          <w:szCs w:val="32"/>
        </w:rPr>
        <w:t>展</w:t>
      </w:r>
      <w:r>
        <w:rPr>
          <w:rFonts w:hint="eastAsia" w:ascii="仿宋_GB2312" w:eastAsia="仿宋_GB2312"/>
          <w:sz w:val="32"/>
          <w:szCs w:val="32"/>
        </w:rPr>
        <w:t>会计审计、法律服务、信用评级、资产评估、投资研究等专业服务</w:t>
      </w:r>
      <w:r>
        <w:rPr>
          <w:rFonts w:hint="eastAsia" w:ascii="仿宋_GB2312" w:hAnsi="仿宋_GB2312" w:eastAsia="仿宋_GB2312" w:cs="仿宋_GB2312"/>
          <w:sz w:val="32"/>
          <w:szCs w:val="32"/>
        </w:rPr>
        <w:t>集群</w:t>
      </w:r>
      <w:r>
        <w:rPr>
          <w:rFonts w:hint="eastAsia" w:ascii="仿宋_GB2312" w:eastAsia="仿宋_GB2312"/>
          <w:sz w:val="32"/>
          <w:szCs w:val="32"/>
        </w:rPr>
        <w:t>，促进机构协同合作，支持提升专业服务水平。</w:t>
      </w:r>
      <w:r>
        <w:rPr>
          <w:rFonts w:hint="eastAsia" w:ascii="仿宋_GB2312" w:eastAsia="仿宋_GB2312"/>
          <w:sz w:val="32"/>
          <w:szCs w:val="32"/>
          <w:lang w:eastAsia="zh-CN"/>
        </w:rPr>
        <w:t>根据</w:t>
      </w:r>
      <w:r>
        <w:rPr>
          <w:rFonts w:hint="eastAsia" w:ascii="仿宋_GB2312" w:eastAsia="仿宋_GB2312"/>
          <w:sz w:val="32"/>
          <w:szCs w:val="32"/>
          <w:highlight w:val="none"/>
          <w:lang w:eastAsia="zh-CN"/>
        </w:rPr>
        <w:t>重点企业发展专项支持政策、</w:t>
      </w:r>
      <w:r>
        <w:rPr>
          <w:rFonts w:hint="eastAsia" w:ascii="仿宋_GB2312" w:eastAsia="仿宋_GB2312"/>
          <w:sz w:val="32"/>
          <w:szCs w:val="32"/>
          <w:lang w:eastAsia="zh-CN"/>
        </w:rPr>
        <w:t>促进专业服务业高质量发展专项支持政策，对符合条件的专业服务机构，经认定，给予最高</w:t>
      </w:r>
      <w:r>
        <w:rPr>
          <w:rFonts w:hint="eastAsia" w:ascii="仿宋_GB2312" w:eastAsia="仿宋_GB2312"/>
          <w:sz w:val="32"/>
          <w:szCs w:val="32"/>
          <w:lang w:val="en-US" w:eastAsia="zh-CN"/>
        </w:rPr>
        <w:t>1000万的</w:t>
      </w:r>
      <w:r>
        <w:rPr>
          <w:rFonts w:hint="eastAsia" w:ascii="仿宋_GB2312" w:eastAsia="仿宋_GB2312"/>
          <w:sz w:val="32"/>
          <w:szCs w:val="32"/>
          <w:lang w:eastAsia="zh-CN"/>
        </w:rPr>
        <w:t>资金支持。</w:t>
      </w:r>
    </w:p>
    <w:p w14:paraId="541419AA">
      <w:pPr>
        <w:adjustRightInd w:val="0"/>
        <w:spacing w:line="560" w:lineRule="exact"/>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支持金融机构优化投资生态。</w:t>
      </w:r>
      <w:r>
        <w:rPr>
          <w:rFonts w:hint="eastAsia" w:ascii="仿宋_GB2312" w:eastAsia="仿宋_GB2312"/>
          <w:sz w:val="32"/>
          <w:szCs w:val="32"/>
        </w:rPr>
        <w:t>支持</w:t>
      </w:r>
      <w:r>
        <w:rPr>
          <w:rFonts w:hint="eastAsia" w:ascii="仿宋_GB2312" w:eastAsia="仿宋_GB2312"/>
          <w:sz w:val="32"/>
          <w:szCs w:val="32"/>
          <w:lang w:val="en-US" w:eastAsia="zh-CN"/>
        </w:rPr>
        <w:t>金融</w:t>
      </w:r>
      <w:r>
        <w:rPr>
          <w:rFonts w:hint="eastAsia" w:ascii="仿宋_GB2312" w:eastAsia="仿宋_GB2312"/>
          <w:sz w:val="32"/>
          <w:szCs w:val="32"/>
        </w:rPr>
        <w:t>机构结合市场环境和投资者需求，设立特色化、差异化的金融产品</w:t>
      </w:r>
      <w:r>
        <w:rPr>
          <w:rFonts w:hint="eastAsia" w:ascii="仿宋_GB2312" w:eastAsia="仿宋_GB2312"/>
          <w:sz w:val="32"/>
          <w:szCs w:val="32"/>
          <w:lang w:val="en-US" w:eastAsia="zh-CN"/>
        </w:rPr>
        <w:t>,扩大市场投资渠道。</w:t>
      </w:r>
      <w:r>
        <w:rPr>
          <w:rFonts w:hint="eastAsia" w:ascii="仿宋_GB2312" w:eastAsia="仿宋_GB2312"/>
          <w:sz w:val="32"/>
          <w:szCs w:val="32"/>
          <w:highlight w:val="none"/>
          <w:lang w:eastAsia="zh-CN"/>
        </w:rPr>
        <w:t>支持专业资产管理机构高质量发展，活跃市场投资扩大管理规模。鼓励资产</w:t>
      </w:r>
      <w:r>
        <w:rPr>
          <w:rFonts w:hint="eastAsia" w:ascii="仿宋_GB2312" w:eastAsia="仿宋_GB2312"/>
          <w:sz w:val="32"/>
          <w:szCs w:val="32"/>
          <w:lang w:eastAsia="zh-CN"/>
        </w:rPr>
        <w:t>管理机构及</w:t>
      </w:r>
      <w:r>
        <w:rPr>
          <w:rFonts w:hint="eastAsia" w:ascii="仿宋_GB2312" w:eastAsia="仿宋_GB2312"/>
          <w:sz w:val="32"/>
          <w:szCs w:val="32"/>
        </w:rPr>
        <w:t>合格境外机构投资者（QFII）、人民币合格境外机构投资者（RQFII）等境内外</w:t>
      </w:r>
      <w:r>
        <w:rPr>
          <w:rFonts w:hint="eastAsia" w:ascii="仿宋_GB2312" w:eastAsia="仿宋_GB2312"/>
          <w:sz w:val="32"/>
          <w:szCs w:val="32"/>
          <w:lang w:eastAsia="zh-CN"/>
        </w:rPr>
        <w:t>投资</w:t>
      </w:r>
      <w:r>
        <w:rPr>
          <w:rFonts w:hint="eastAsia" w:ascii="仿宋_GB2312" w:eastAsia="仿宋_GB2312"/>
          <w:sz w:val="32"/>
          <w:szCs w:val="32"/>
        </w:rPr>
        <w:t>机构加大对北交所的投资力度和参与深度。</w:t>
      </w:r>
      <w:r>
        <w:rPr>
          <w:rFonts w:hint="eastAsia" w:ascii="仿宋_GB2312" w:eastAsia="仿宋_GB2312"/>
          <w:sz w:val="32"/>
          <w:szCs w:val="32"/>
          <w:lang w:eastAsia="zh-CN"/>
        </w:rPr>
        <w:t>根据金融业高质量发展专项支持政策</w:t>
      </w:r>
      <w:r>
        <w:rPr>
          <w:rFonts w:hint="eastAsia" w:ascii="仿宋_GB2312" w:eastAsia="仿宋_GB2312"/>
          <w:sz w:val="32"/>
          <w:szCs w:val="32"/>
          <w:highlight w:val="none"/>
          <w:lang w:eastAsia="zh-CN"/>
        </w:rPr>
        <w:t>，对符合条件的机构给予相应资金支持</w:t>
      </w:r>
      <w:r>
        <w:rPr>
          <w:rFonts w:hint="eastAsia" w:ascii="仿宋_GB2312" w:eastAsia="仿宋_GB2312"/>
          <w:sz w:val="32"/>
          <w:szCs w:val="32"/>
          <w:lang w:eastAsia="zh-CN"/>
        </w:rPr>
        <w:t>。</w:t>
      </w:r>
    </w:p>
    <w:p w14:paraId="3E5415BF">
      <w:pPr>
        <w:adjustRightInd w:val="0"/>
        <w:snapToGrid w:val="0"/>
        <w:spacing w:line="560" w:lineRule="exact"/>
        <w:ind w:firstLine="640" w:firstLineChars="200"/>
        <w:jc w:val="both"/>
        <w:rPr>
          <w:rFonts w:hint="eastAsia" w:ascii="仿宋_GB2312" w:eastAsia="仿宋_GB2312" w:hAnsiTheme="minorHAnsi" w:cstheme="minorBidi"/>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发挥行业协会的桥梁纽带作用。</w:t>
      </w:r>
      <w:r>
        <w:rPr>
          <w:rFonts w:hint="eastAsia" w:ascii="仿宋_GB2312" w:eastAsia="仿宋_GB2312" w:hAnsiTheme="minorHAnsi" w:cstheme="minorBidi"/>
          <w:sz w:val="32"/>
          <w:szCs w:val="32"/>
          <w:lang w:eastAsia="zh-CN"/>
        </w:rPr>
        <w:t>服务保障中国保险资产管理业协会、中国证券业协会、中国证券基金业协会</w:t>
      </w:r>
      <w:r>
        <w:rPr>
          <w:rFonts w:hint="eastAsia" w:ascii="仿宋_GB2312" w:eastAsia="仿宋_GB2312" w:cstheme="minorBidi"/>
          <w:sz w:val="32"/>
          <w:szCs w:val="32"/>
          <w:lang w:eastAsia="zh-CN"/>
        </w:rPr>
        <w:t>等行业自律组织开展活动，广泛搭建各类交流合作平台，为金融机构展业提供支持与指导。引导证券基金经营机构加大对北交所及其上市公司的投资研究，推动业务创新，提高展业质量。</w:t>
      </w:r>
    </w:p>
    <w:p w14:paraId="3B0B2EED">
      <w:pPr>
        <w:adjustRightInd w:val="0"/>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三、强化企业培育综合服务体系建设</w:t>
      </w:r>
    </w:p>
    <w:p w14:paraId="3714149D">
      <w:pPr>
        <w:adjustRightInd w:val="0"/>
        <w:spacing w:line="56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rPr>
        <w:t>（一）加强</w:t>
      </w:r>
      <w:r>
        <w:rPr>
          <w:rFonts w:hint="eastAsia" w:ascii="楷体_GB2312" w:hAnsi="楷体_GB2312" w:eastAsia="楷体_GB2312" w:cs="楷体_GB2312"/>
          <w:sz w:val="32"/>
          <w:szCs w:val="32"/>
          <w:lang w:eastAsia="zh-CN"/>
        </w:rPr>
        <w:t>优质</w:t>
      </w:r>
      <w:r>
        <w:rPr>
          <w:rFonts w:hint="eastAsia" w:ascii="楷体_GB2312" w:hAnsi="楷体_GB2312" w:eastAsia="楷体_GB2312" w:cs="楷体_GB2312"/>
          <w:sz w:val="32"/>
          <w:szCs w:val="32"/>
        </w:rPr>
        <w:t>创新型企业资源储备。</w:t>
      </w:r>
      <w:r>
        <w:rPr>
          <w:rFonts w:hint="eastAsia" w:ascii="仿宋_GB2312" w:eastAsia="仿宋_GB2312"/>
          <w:sz w:val="32"/>
          <w:szCs w:val="32"/>
          <w:lang w:eastAsia="zh-CN"/>
        </w:rPr>
        <w:t>挖掘</w:t>
      </w:r>
      <w:r>
        <w:rPr>
          <w:rFonts w:hint="eastAsia" w:ascii="仿宋_GB2312" w:eastAsia="仿宋_GB2312"/>
          <w:sz w:val="32"/>
          <w:szCs w:val="32"/>
        </w:rPr>
        <w:t>、培育一批符合新质生产力或国家战略发展要求的创新企业，充实企业资源库，将符合条件的创新型企业纳入重点上市培育服务清单，按行业赛道、经营规模、分层阶段等指标形成梯队化分层分类培育体系，为资本市场输送优质上市资源。</w:t>
      </w:r>
    </w:p>
    <w:p w14:paraId="18678EB3">
      <w:pPr>
        <w:adjustRightInd w:val="0"/>
        <w:spacing w:line="56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rPr>
        <w:t>（二）强化</w:t>
      </w:r>
      <w:r>
        <w:rPr>
          <w:rFonts w:hint="eastAsia" w:ascii="楷体_GB2312" w:hAnsi="楷体_GB2312" w:eastAsia="楷体_GB2312" w:cs="楷体_GB2312"/>
          <w:sz w:val="32"/>
          <w:szCs w:val="32"/>
          <w:lang w:eastAsia="zh-CN"/>
        </w:rPr>
        <w:t>企业上市全链条服务。</w:t>
      </w:r>
      <w:r>
        <w:rPr>
          <w:rFonts w:hint="eastAsia" w:ascii="仿宋_GB2312" w:eastAsia="仿宋_GB2312"/>
          <w:sz w:val="32"/>
          <w:szCs w:val="32"/>
          <w:lang w:eastAsia="zh-CN"/>
        </w:rPr>
        <w:t>依托</w:t>
      </w:r>
      <w:r>
        <w:rPr>
          <w:rFonts w:hint="eastAsia" w:ascii="仿宋_GB2312" w:eastAsia="仿宋_GB2312"/>
          <w:sz w:val="32"/>
          <w:szCs w:val="32"/>
        </w:rPr>
        <w:t>北交所金融街服务基地</w:t>
      </w:r>
      <w:r>
        <w:rPr>
          <w:rFonts w:hint="eastAsia" w:ascii="仿宋_GB2312" w:eastAsia="仿宋_GB2312"/>
          <w:sz w:val="32"/>
          <w:szCs w:val="32"/>
          <w:lang w:eastAsia="zh-CN"/>
        </w:rPr>
        <w:t>，</w:t>
      </w:r>
      <w:r>
        <w:rPr>
          <w:rFonts w:hint="eastAsia" w:ascii="仿宋_GB2312" w:eastAsia="仿宋_GB2312"/>
          <w:sz w:val="32"/>
          <w:szCs w:val="32"/>
        </w:rPr>
        <w:t>加强与区域股权中心的有效衔接，提升服务全国创新型中小企业知识产权保护</w:t>
      </w:r>
      <w:r>
        <w:rPr>
          <w:rFonts w:hint="eastAsia" w:ascii="仿宋_GB2312" w:eastAsia="仿宋_GB2312"/>
          <w:sz w:val="32"/>
          <w:szCs w:val="32"/>
          <w:lang w:eastAsia="zh-CN"/>
        </w:rPr>
        <w:t>、</w:t>
      </w:r>
      <w:r>
        <w:rPr>
          <w:rFonts w:hint="eastAsia" w:ascii="仿宋_GB2312" w:eastAsia="仿宋_GB2312"/>
          <w:sz w:val="32"/>
          <w:szCs w:val="32"/>
        </w:rPr>
        <w:t>投融资</w:t>
      </w:r>
      <w:r>
        <w:rPr>
          <w:rFonts w:hint="eastAsia" w:ascii="仿宋_GB2312" w:eastAsia="仿宋_GB2312"/>
          <w:sz w:val="32"/>
          <w:szCs w:val="32"/>
          <w:lang w:eastAsia="zh-CN"/>
        </w:rPr>
        <w:t>对接</w:t>
      </w:r>
      <w:r>
        <w:rPr>
          <w:rFonts w:hint="eastAsia" w:ascii="仿宋_GB2312" w:eastAsia="仿宋_GB2312"/>
          <w:sz w:val="32"/>
          <w:szCs w:val="32"/>
        </w:rPr>
        <w:t>、上市辅导、</w:t>
      </w:r>
      <w:r>
        <w:rPr>
          <w:rFonts w:hint="eastAsia" w:ascii="仿宋_GB2312" w:eastAsia="仿宋_GB2312"/>
          <w:sz w:val="32"/>
          <w:szCs w:val="32"/>
          <w:lang w:eastAsia="zh-CN"/>
        </w:rPr>
        <w:t>产业链融通</w:t>
      </w:r>
      <w:r>
        <w:rPr>
          <w:rFonts w:hint="eastAsia" w:ascii="仿宋_GB2312" w:eastAsia="仿宋_GB2312"/>
          <w:sz w:val="32"/>
          <w:szCs w:val="32"/>
        </w:rPr>
        <w:t>等功能。强化基地企业服务联盟机制效能，拓宽与</w:t>
      </w:r>
      <w:r>
        <w:rPr>
          <w:rFonts w:hint="eastAsia" w:ascii="仿宋_GB2312" w:eastAsia="仿宋_GB2312"/>
          <w:sz w:val="32"/>
          <w:szCs w:val="32"/>
          <w:lang w:eastAsia="zh-CN"/>
        </w:rPr>
        <w:t>各类</w:t>
      </w:r>
      <w:r>
        <w:rPr>
          <w:rFonts w:hint="eastAsia" w:ascii="仿宋_GB2312" w:eastAsia="仿宋_GB2312"/>
          <w:sz w:val="32"/>
          <w:szCs w:val="32"/>
        </w:rPr>
        <w:t>专业服务机构、投融资机构的战略合作，为中小企业搭建全链条、全流程、专业化的服务平台。</w:t>
      </w:r>
    </w:p>
    <w:p w14:paraId="7F901CCB">
      <w:pPr>
        <w:adjustRightInd w:val="0"/>
        <w:spacing w:line="560" w:lineRule="exact"/>
        <w:ind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（三）</w:t>
      </w:r>
      <w:r>
        <w:rPr>
          <w:rFonts w:hint="eastAsia" w:ascii="楷体_GB2312" w:hAnsi="楷体_GB2312" w:eastAsia="楷体_GB2312" w:cs="楷体_GB2312"/>
          <w:sz w:val="32"/>
          <w:szCs w:val="32"/>
          <w:lang w:val="en-US" w:eastAsia="zh-CN"/>
        </w:rPr>
        <w:t>引导</w:t>
      </w:r>
      <w:r>
        <w:rPr>
          <w:rFonts w:hint="eastAsia" w:ascii="楷体_GB2312" w:hAnsi="楷体_GB2312" w:eastAsia="楷体_GB2312" w:cs="楷体_GB2312"/>
          <w:sz w:val="32"/>
          <w:szCs w:val="32"/>
        </w:rPr>
        <w:t>金融</w:t>
      </w:r>
      <w:r>
        <w:rPr>
          <w:rFonts w:hint="eastAsia" w:ascii="楷体_GB2312" w:hAnsi="楷体_GB2312" w:eastAsia="楷体_GB2312" w:cs="楷体_GB2312"/>
          <w:sz w:val="32"/>
          <w:szCs w:val="32"/>
          <w:lang w:val="en-US" w:eastAsia="zh-CN"/>
        </w:rPr>
        <w:t>资本精准赋能科技创新。</w:t>
      </w:r>
      <w:r>
        <w:rPr>
          <w:rFonts w:hint="eastAsia" w:ascii="仿宋_GB2312" w:eastAsia="仿宋_GB2312"/>
          <w:sz w:val="32"/>
          <w:szCs w:val="32"/>
        </w:rPr>
        <w:t>引导带动长期资本聚焦科创属性、技术价值、新兴领域开展有效投资，加大对创新型中小企业的支持力度，推动更多资本投早、投小、投长期、投硬科技。支持金融资产投资公司直接股权投资试点，更大力度吸引社会资本参与，进一步发展壮大耐心资本。充分发挥政府投资基金的引导作用，多措并举加大对突破关键核心技术的科技型企业股权融资支持力度。</w:t>
      </w:r>
    </w:p>
    <w:p w14:paraId="57DA1D53">
      <w:pPr>
        <w:adjustRightInd w:val="0"/>
        <w:spacing w:line="56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lang w:eastAsia="zh-CN"/>
        </w:rPr>
        <w:t>（四）</w:t>
      </w:r>
      <w:r>
        <w:rPr>
          <w:rFonts w:hint="eastAsia" w:ascii="楷体_GB2312" w:hAnsi="楷体_GB2312" w:eastAsia="楷体_GB2312" w:cs="楷体_GB2312"/>
          <w:sz w:val="32"/>
          <w:szCs w:val="32"/>
        </w:rPr>
        <w:t>优化企业上市服务协调机能。</w:t>
      </w:r>
      <w:r>
        <w:rPr>
          <w:rFonts w:hint="eastAsia" w:ascii="仿宋_GB2312" w:eastAsia="仿宋_GB2312"/>
          <w:sz w:val="32"/>
          <w:szCs w:val="32"/>
        </w:rPr>
        <w:t>协同市级部门、北交所形成上市工作合力，帮助指导企业规范发展。发挥市上市工作专班作用，夯实</w:t>
      </w:r>
      <w:r>
        <w:rPr>
          <w:rFonts w:hint="eastAsia" w:ascii="仿宋_GB2312" w:eastAsia="仿宋_GB2312"/>
          <w:sz w:val="32"/>
          <w:szCs w:val="32"/>
          <w:lang w:eastAsia="zh-CN"/>
        </w:rPr>
        <w:t>区</w:t>
      </w:r>
      <w:r>
        <w:rPr>
          <w:rFonts w:hint="eastAsia" w:ascii="仿宋_GB2312" w:eastAsia="仿宋_GB2312"/>
          <w:sz w:val="32"/>
          <w:szCs w:val="32"/>
        </w:rPr>
        <w:t>企业上市联席会机制，建立企业资质、证照办理便捷通道，</w:t>
      </w:r>
      <w:r>
        <w:rPr>
          <w:rFonts w:hint="eastAsia" w:ascii="仿宋_GB2312" w:eastAsia="仿宋_GB2312"/>
          <w:sz w:val="32"/>
          <w:szCs w:val="32"/>
          <w:lang w:eastAsia="zh-CN"/>
        </w:rPr>
        <w:t>为</w:t>
      </w:r>
      <w:r>
        <w:rPr>
          <w:rFonts w:hint="eastAsia" w:ascii="仿宋_GB2312" w:eastAsia="仿宋_GB2312"/>
          <w:sz w:val="32"/>
          <w:szCs w:val="32"/>
        </w:rPr>
        <w:t>企业上市过程中项目审批、土地房产变更、资产转让及产权确认等</w:t>
      </w:r>
      <w:r>
        <w:rPr>
          <w:rFonts w:hint="eastAsia" w:ascii="仿宋_GB2312" w:eastAsia="仿宋_GB2312"/>
          <w:sz w:val="32"/>
          <w:szCs w:val="32"/>
          <w:lang w:eastAsia="zh-CN"/>
        </w:rPr>
        <w:t>提供优质服务</w:t>
      </w:r>
      <w:r>
        <w:rPr>
          <w:rFonts w:hint="eastAsia" w:ascii="仿宋_GB2312" w:eastAsia="仿宋_GB2312"/>
          <w:sz w:val="32"/>
          <w:szCs w:val="32"/>
        </w:rPr>
        <w:t>，提高办理效率及服务精准度。</w:t>
      </w:r>
    </w:p>
    <w:p w14:paraId="65A3F11C">
      <w:pPr>
        <w:adjustRightInd w:val="0"/>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四、助推上市公司做强做优做大</w:t>
      </w:r>
    </w:p>
    <w:p w14:paraId="5D65B7F4">
      <w:pPr>
        <w:adjustRightInd w:val="0"/>
        <w:spacing w:line="56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rPr>
        <w:t>（一）支持上市公司加大科技创新。</w:t>
      </w:r>
      <w:r>
        <w:rPr>
          <w:rFonts w:hint="eastAsia" w:ascii="仿宋_GB2312" w:eastAsia="仿宋_GB2312"/>
          <w:sz w:val="32"/>
          <w:szCs w:val="32"/>
        </w:rPr>
        <w:t>支持上市公司持续加大科技创新、技术改造、产业升级等投入，根据上市后研发强度</w:t>
      </w:r>
      <w:r>
        <w:rPr>
          <w:rFonts w:hint="eastAsia" w:ascii="仿宋_GB2312" w:eastAsia="仿宋_GB2312"/>
          <w:sz w:val="32"/>
          <w:szCs w:val="32"/>
          <w:lang w:eastAsia="zh-CN"/>
        </w:rPr>
        <w:t>（当</w:t>
      </w:r>
      <w:r>
        <w:rPr>
          <w:rFonts w:hint="eastAsia" w:ascii="仿宋_GB2312" w:eastAsia="仿宋_GB2312"/>
          <w:sz w:val="32"/>
          <w:szCs w:val="32"/>
        </w:rPr>
        <w:t>年研发投入总额占营业收入比例</w:t>
      </w:r>
      <w:r>
        <w:rPr>
          <w:rFonts w:hint="eastAsia" w:ascii="仿宋_GB2312" w:eastAsia="仿宋_GB2312"/>
          <w:sz w:val="32"/>
          <w:szCs w:val="32"/>
          <w:lang w:eastAsia="zh-CN"/>
        </w:rPr>
        <w:t>）</w:t>
      </w:r>
      <w:r>
        <w:rPr>
          <w:rFonts w:hint="eastAsia" w:ascii="仿宋_GB2312" w:eastAsia="仿宋_GB2312"/>
          <w:sz w:val="32"/>
          <w:szCs w:val="32"/>
        </w:rPr>
        <w:t>给予一定资金支持。</w:t>
      </w:r>
      <w:r>
        <w:rPr>
          <w:rFonts w:hint="eastAsia" w:ascii="仿宋_GB2312" w:eastAsia="仿宋_GB2312"/>
          <w:sz w:val="32"/>
          <w:szCs w:val="32"/>
          <w:lang w:eastAsia="zh-CN"/>
        </w:rPr>
        <w:t>经认定，符合要求的，</w:t>
      </w:r>
      <w:r>
        <w:rPr>
          <w:rFonts w:hint="eastAsia" w:ascii="仿宋_GB2312" w:eastAsia="仿宋_GB2312"/>
          <w:sz w:val="32"/>
          <w:szCs w:val="32"/>
        </w:rPr>
        <w:t>当年度可给予不超过200万元的专项资金支持，累计奖励总额不超过</w:t>
      </w:r>
      <w:r>
        <w:rPr>
          <w:rFonts w:hint="eastAsia" w:ascii="仿宋_GB2312" w:eastAsia="仿宋_GB2312"/>
          <w:sz w:val="32"/>
          <w:szCs w:val="32"/>
          <w:lang w:val="en-US" w:eastAsia="zh-CN"/>
        </w:rPr>
        <w:t>10</w:t>
      </w:r>
      <w:r>
        <w:rPr>
          <w:rFonts w:hint="eastAsia" w:ascii="仿宋_GB2312" w:eastAsia="仿宋_GB2312"/>
          <w:sz w:val="32"/>
          <w:szCs w:val="32"/>
        </w:rPr>
        <w:t>00万元</w:t>
      </w:r>
      <w:r>
        <w:rPr>
          <w:rFonts w:hint="eastAsia" w:ascii="仿宋_GB2312" w:eastAsia="仿宋_GB2312"/>
          <w:sz w:val="32"/>
          <w:szCs w:val="32"/>
          <w:lang w:eastAsia="zh-CN"/>
        </w:rPr>
        <w:t>，</w:t>
      </w:r>
      <w:r>
        <w:rPr>
          <w:rFonts w:hint="eastAsia" w:ascii="仿宋_GB2312" w:eastAsia="仿宋_GB2312"/>
          <w:color w:val="auto"/>
          <w:sz w:val="32"/>
          <w:szCs w:val="32"/>
          <w:lang w:eastAsia="zh-CN"/>
        </w:rPr>
        <w:t>上市五年内申请完毕</w:t>
      </w:r>
      <w:r>
        <w:rPr>
          <w:rFonts w:hint="eastAsia" w:ascii="仿宋_GB2312" w:eastAsia="仿宋_GB2312"/>
          <w:sz w:val="32"/>
          <w:szCs w:val="32"/>
        </w:rPr>
        <w:t>。</w:t>
      </w:r>
    </w:p>
    <w:p w14:paraId="224F045A">
      <w:pPr>
        <w:adjustRightInd w:val="0"/>
        <w:spacing w:line="560" w:lineRule="exact"/>
        <w:ind w:firstLine="640" w:firstLineChars="200"/>
        <w:jc w:val="both"/>
        <w:rPr>
          <w:rFonts w:ascii="仿宋_GB2312" w:eastAsia="仿宋_GB2312"/>
          <w:sz w:val="32"/>
          <w:szCs w:val="32"/>
        </w:rPr>
      </w:pPr>
      <w:r>
        <w:rPr>
          <w:rFonts w:hint="eastAsia" w:ascii="仿宋_GB2312" w:eastAsia="仿宋_GB2312"/>
          <w:sz w:val="32"/>
          <w:szCs w:val="32"/>
        </w:rPr>
        <w:t>鼓励挂牌企业开展科技创新，培育和</w:t>
      </w:r>
      <w:r>
        <w:rPr>
          <w:rFonts w:hint="eastAsia" w:ascii="仿宋_GB2312" w:eastAsia="仿宋_GB2312"/>
          <w:sz w:val="32"/>
          <w:szCs w:val="32"/>
          <w:lang w:eastAsia="zh-CN"/>
        </w:rPr>
        <w:t>汇聚</w:t>
      </w:r>
      <w:r>
        <w:rPr>
          <w:rFonts w:hint="eastAsia" w:ascii="仿宋_GB2312" w:eastAsia="仿宋_GB2312"/>
          <w:sz w:val="32"/>
          <w:szCs w:val="32"/>
        </w:rPr>
        <w:t>创新人才。</w:t>
      </w:r>
      <w:r>
        <w:rPr>
          <w:rFonts w:hint="eastAsia" w:ascii="仿宋_GB2312" w:eastAsia="仿宋_GB2312"/>
          <w:sz w:val="32"/>
          <w:szCs w:val="32"/>
          <w:lang w:eastAsia="zh-CN"/>
        </w:rPr>
        <w:t>经认定，</w:t>
      </w:r>
      <w:r>
        <w:rPr>
          <w:rFonts w:hint="eastAsia" w:ascii="仿宋_GB2312" w:eastAsia="仿宋_GB2312"/>
          <w:sz w:val="32"/>
          <w:szCs w:val="32"/>
        </w:rPr>
        <w:t>挂牌企业</w:t>
      </w:r>
      <w:r>
        <w:rPr>
          <w:rFonts w:hint="eastAsia" w:ascii="仿宋_GB2312" w:eastAsia="仿宋_GB2312"/>
          <w:sz w:val="32"/>
          <w:szCs w:val="32"/>
          <w:lang w:eastAsia="zh-CN"/>
        </w:rPr>
        <w:t>研发强度符合要求的</w:t>
      </w:r>
      <w:r>
        <w:rPr>
          <w:rFonts w:hint="eastAsia" w:ascii="仿宋_GB2312" w:eastAsia="仿宋_GB2312"/>
          <w:sz w:val="32"/>
          <w:szCs w:val="32"/>
        </w:rPr>
        <w:t>，当年度可给予不超过</w:t>
      </w:r>
      <w:r>
        <w:rPr>
          <w:rFonts w:ascii="仿宋_GB2312" w:eastAsia="仿宋_GB2312"/>
          <w:sz w:val="32"/>
          <w:szCs w:val="32"/>
        </w:rPr>
        <w:t>50</w:t>
      </w:r>
      <w:r>
        <w:rPr>
          <w:rFonts w:hint="eastAsia" w:ascii="仿宋_GB2312" w:eastAsia="仿宋_GB2312"/>
          <w:sz w:val="32"/>
          <w:szCs w:val="32"/>
        </w:rPr>
        <w:t>万元的专项资金支持，累计奖励总额不超过</w:t>
      </w:r>
      <w:r>
        <w:rPr>
          <w:rFonts w:ascii="仿宋_GB2312" w:eastAsia="仿宋_GB2312"/>
          <w:sz w:val="32"/>
          <w:szCs w:val="32"/>
        </w:rPr>
        <w:t>150</w:t>
      </w:r>
      <w:r>
        <w:rPr>
          <w:rFonts w:hint="eastAsia" w:ascii="仿宋_GB2312" w:eastAsia="仿宋_GB2312"/>
          <w:sz w:val="32"/>
          <w:szCs w:val="32"/>
        </w:rPr>
        <w:t>万元。</w:t>
      </w:r>
    </w:p>
    <w:p w14:paraId="1C49F467">
      <w:pPr>
        <w:adjustRightInd w:val="0"/>
        <w:spacing w:line="56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rPr>
        <w:t>（二）搭建</w:t>
      </w:r>
      <w:r>
        <w:rPr>
          <w:rFonts w:hint="eastAsia" w:ascii="楷体_GB2312" w:hAnsi="楷体_GB2312" w:eastAsia="楷体_GB2312" w:cs="楷体_GB2312"/>
          <w:sz w:val="32"/>
          <w:szCs w:val="32"/>
          <w:lang w:val="en-US" w:eastAsia="zh-CN"/>
        </w:rPr>
        <w:t>多元有效</w:t>
      </w:r>
      <w:r>
        <w:rPr>
          <w:rFonts w:hint="eastAsia" w:ascii="楷体_GB2312" w:hAnsi="楷体_GB2312" w:eastAsia="楷体_GB2312" w:cs="楷体_GB2312"/>
          <w:sz w:val="32"/>
          <w:szCs w:val="32"/>
        </w:rPr>
        <w:t>交流互动平台。</w:t>
      </w:r>
      <w:r>
        <w:rPr>
          <w:rFonts w:hint="eastAsia" w:ascii="仿宋_GB2312" w:eastAsia="仿宋_GB2312"/>
          <w:sz w:val="32"/>
          <w:szCs w:val="32"/>
        </w:rPr>
        <w:t>发挥金融街要素禀赋集聚优势、金融街论坛品牌优势，通过举办上市主题交流活动、北交所主题日、融享汇等活动，为</w:t>
      </w:r>
      <w:r>
        <w:rPr>
          <w:rFonts w:hint="eastAsia" w:ascii="仿宋_GB2312" w:eastAsia="仿宋_GB2312"/>
          <w:sz w:val="32"/>
          <w:szCs w:val="32"/>
          <w:lang w:eastAsia="zh-CN"/>
        </w:rPr>
        <w:t>监管部门、上市企业与金融机构</w:t>
      </w:r>
      <w:r>
        <w:rPr>
          <w:rFonts w:hint="eastAsia" w:ascii="仿宋_GB2312" w:eastAsia="仿宋_GB2312"/>
          <w:sz w:val="32"/>
          <w:szCs w:val="32"/>
        </w:rPr>
        <w:t>搭建信息交流、业务联动、品牌推广等平台，促进金融更好服务实体经济，实现市场资源共享。</w:t>
      </w:r>
    </w:p>
    <w:p w14:paraId="5C31E28A">
      <w:pPr>
        <w:adjustRightInd w:val="0"/>
        <w:spacing w:line="560" w:lineRule="exact"/>
        <w:ind w:firstLine="640" w:firstLineChars="200"/>
        <w:jc w:val="both"/>
        <w:rPr>
          <w:rFonts w:hint="eastAsia" w:ascii="仿宋_GB2312" w:eastAsia="仿宋_GB2312"/>
          <w:sz w:val="32"/>
          <w:szCs w:val="32"/>
          <w:lang w:val="en-US" w:eastAsia="zh-CN"/>
        </w:rPr>
      </w:pPr>
      <w:r>
        <w:rPr>
          <w:rFonts w:hint="eastAsia" w:ascii="楷体_GB2312" w:hAnsi="楷体_GB2312" w:eastAsia="楷体_GB2312" w:cs="楷体_GB2312"/>
          <w:sz w:val="32"/>
          <w:szCs w:val="32"/>
        </w:rPr>
        <w:t>（三）促进金融赋能上市公司再发展。</w:t>
      </w:r>
      <w:r>
        <w:rPr>
          <w:rFonts w:hint="eastAsia" w:ascii="仿宋_GB2312" w:eastAsia="仿宋_GB2312"/>
          <w:sz w:val="32"/>
          <w:szCs w:val="32"/>
        </w:rPr>
        <w:t>支持上市公司积极践行市值管理，提升上市公司的投资价值和核心竞争力。支持上市公司聚焦战略性新兴产业、未来产业等进行产业整合</w:t>
      </w:r>
      <w:r>
        <w:rPr>
          <w:rFonts w:hint="eastAsia" w:ascii="仿宋_GB2312" w:eastAsia="仿宋_GB2312"/>
          <w:sz w:val="32"/>
          <w:szCs w:val="32"/>
          <w:lang w:val="en-US" w:eastAsia="zh-CN"/>
        </w:rPr>
        <w:t>。</w:t>
      </w:r>
      <w:r>
        <w:rPr>
          <w:rFonts w:ascii="仿宋_GB2312" w:eastAsia="仿宋_GB2312"/>
          <w:sz w:val="32"/>
          <w:szCs w:val="32"/>
        </w:rPr>
        <w:t>鼓励和引导上市公司与金融机构联合成立并购重组基金、创业投资基金，共同培育优质并购标的</w:t>
      </w:r>
      <w:r>
        <w:rPr>
          <w:rFonts w:hint="eastAsia" w:ascii="仿宋_GB2312" w:eastAsia="仿宋_GB2312"/>
          <w:sz w:val="32"/>
          <w:szCs w:val="32"/>
          <w:lang w:eastAsia="zh-CN"/>
        </w:rPr>
        <w:t>，助力上市公司转型升级</w:t>
      </w:r>
      <w:r>
        <w:rPr>
          <w:rFonts w:ascii="仿宋_GB2312" w:eastAsia="仿宋_GB2312"/>
          <w:sz w:val="32"/>
          <w:szCs w:val="32"/>
        </w:rPr>
        <w:t>。</w:t>
      </w:r>
    </w:p>
    <w:p w14:paraId="42F6661B">
      <w:pPr>
        <w:adjustRightInd w:val="0"/>
        <w:spacing w:line="560" w:lineRule="exact"/>
        <w:ind w:firstLine="640" w:firstLineChars="200"/>
        <w:jc w:val="both"/>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（四）为上市公司营造良好发展环境。</w:t>
      </w:r>
      <w:r>
        <w:rPr>
          <w:rFonts w:hint="eastAsia" w:ascii="仿宋_GB2312" w:eastAsia="仿宋_GB2312"/>
          <w:sz w:val="32"/>
          <w:szCs w:val="32"/>
          <w:lang w:eastAsia="zh-CN"/>
        </w:rPr>
        <w:t>发挥区域合力，为上市公司配备行业服务管家，做好日常服务保障。</w:t>
      </w:r>
      <w:r>
        <w:rPr>
          <w:rFonts w:hint="eastAsia" w:ascii="仿宋_GB2312" w:eastAsia="仿宋_GB2312"/>
          <w:sz w:val="32"/>
          <w:szCs w:val="32"/>
        </w:rPr>
        <w:t>统筹优化区域产业空间布局，增强区域对上市</w:t>
      </w:r>
      <w:r>
        <w:rPr>
          <w:rFonts w:hint="eastAsia" w:ascii="仿宋_GB2312" w:eastAsia="仿宋_GB2312"/>
          <w:sz w:val="32"/>
          <w:szCs w:val="32"/>
          <w:lang w:eastAsia="zh-CN"/>
        </w:rPr>
        <w:t>公司</w:t>
      </w:r>
      <w:r>
        <w:rPr>
          <w:rFonts w:hint="eastAsia" w:ascii="仿宋_GB2312" w:eastAsia="仿宋_GB2312"/>
          <w:sz w:val="32"/>
          <w:szCs w:val="32"/>
        </w:rPr>
        <w:t>产业链资源承载力，营造良好的企业发展环境。支持上市</w:t>
      </w:r>
      <w:r>
        <w:rPr>
          <w:rFonts w:hint="eastAsia" w:ascii="仿宋_GB2312" w:eastAsia="仿宋_GB2312"/>
          <w:sz w:val="32"/>
          <w:szCs w:val="32"/>
          <w:lang w:eastAsia="zh-CN"/>
        </w:rPr>
        <w:t>公司</w:t>
      </w:r>
      <w:r>
        <w:rPr>
          <w:rFonts w:hint="eastAsia" w:ascii="仿宋_GB2312" w:eastAsia="仿宋_GB2312"/>
          <w:sz w:val="32"/>
          <w:szCs w:val="32"/>
        </w:rPr>
        <w:t>汇聚人才，</w:t>
      </w:r>
      <w:r>
        <w:rPr>
          <w:rFonts w:hint="eastAsia" w:ascii="仿宋_GB2312" w:eastAsia="仿宋_GB2312"/>
          <w:sz w:val="32"/>
          <w:szCs w:val="32"/>
          <w:lang w:eastAsia="zh-CN"/>
        </w:rPr>
        <w:t>在</w:t>
      </w:r>
      <w:r>
        <w:rPr>
          <w:rFonts w:hint="eastAsia" w:ascii="仿宋_GB2312" w:hAnsi="仿宋_GB2312" w:eastAsia="仿宋_GB2312" w:cs="仿宋_GB2312"/>
          <w:sz w:val="32"/>
          <w:szCs w:val="32"/>
        </w:rPr>
        <w:t>人才</w:t>
      </w:r>
      <w:r>
        <w:rPr>
          <w:rFonts w:hint="eastAsia" w:ascii="仿宋_GB2312" w:hAnsi="仿宋_GB2312" w:eastAsia="仿宋_GB2312" w:cs="仿宋_GB2312"/>
          <w:sz w:val="32"/>
          <w:szCs w:val="32"/>
          <w:lang w:eastAsia="zh-CN"/>
        </w:rPr>
        <w:t>引进</w:t>
      </w:r>
      <w:r>
        <w:rPr>
          <w:rFonts w:hint="eastAsia" w:ascii="仿宋_GB2312" w:hAnsi="仿宋_GB2312" w:eastAsia="仿宋_GB2312" w:cs="仿宋_GB2312"/>
          <w:sz w:val="32"/>
          <w:szCs w:val="32"/>
        </w:rPr>
        <w:t>、工作居住证办理、子女教育、人才公寓等</w:t>
      </w:r>
      <w:r>
        <w:rPr>
          <w:rFonts w:hint="eastAsia" w:ascii="仿宋_GB2312" w:hAnsi="仿宋_GB2312" w:eastAsia="仿宋_GB2312" w:cs="仿宋_GB2312"/>
          <w:sz w:val="32"/>
          <w:szCs w:val="32"/>
          <w:lang w:eastAsia="zh-CN"/>
        </w:rPr>
        <w:t>方面</w:t>
      </w:r>
      <w:r>
        <w:rPr>
          <w:rFonts w:hint="eastAsia" w:ascii="仿宋_GB2312" w:hAnsi="仿宋_GB2312" w:eastAsia="仿宋_GB2312" w:cs="仿宋_GB2312"/>
          <w:sz w:val="32"/>
          <w:szCs w:val="32"/>
        </w:rPr>
        <w:t>提供有力保障。</w:t>
      </w:r>
    </w:p>
    <w:p w14:paraId="00CCC125">
      <w:pPr>
        <w:adjustRightInd w:val="0"/>
        <w:spacing w:line="560" w:lineRule="exact"/>
        <w:ind w:firstLine="640" w:firstLineChars="200"/>
        <w:jc w:val="both"/>
        <w:rPr>
          <w:rFonts w:hint="eastAsia" w:ascii="黑体" w:hAnsi="黑体" w:eastAsia="黑体"/>
          <w:sz w:val="32"/>
          <w:szCs w:val="32"/>
        </w:rPr>
      </w:pPr>
      <w:r>
        <w:rPr>
          <w:rFonts w:hint="eastAsia" w:ascii="黑体" w:hAnsi="黑体" w:eastAsia="黑体"/>
          <w:sz w:val="32"/>
          <w:szCs w:val="32"/>
        </w:rPr>
        <w:t>五、附则</w:t>
      </w:r>
    </w:p>
    <w:p w14:paraId="4A1A6954">
      <w:pPr>
        <w:adjustRightInd w:val="0"/>
        <w:spacing w:line="560" w:lineRule="exact"/>
        <w:ind w:firstLine="640" w:firstLineChars="200"/>
        <w:jc w:val="both"/>
        <w:rPr>
          <w:rFonts w:hint="eastAsia" w:ascii="仿宋_GB2312" w:eastAsia="仿宋_GB2312"/>
          <w:sz w:val="32"/>
          <w:szCs w:val="32"/>
        </w:rPr>
      </w:pPr>
      <w:r>
        <w:rPr>
          <w:rFonts w:hint="eastAsia" w:ascii="楷体_GB2312" w:hAnsi="楷体_GB2312" w:eastAsia="楷体_GB2312" w:cs="楷体_GB2312"/>
          <w:sz w:val="32"/>
          <w:szCs w:val="32"/>
        </w:rPr>
        <w:t>（一）</w:t>
      </w:r>
      <w:r>
        <w:rPr>
          <w:rFonts w:hint="eastAsia" w:ascii="仿宋_GB2312" w:eastAsia="仿宋_GB2312"/>
          <w:sz w:val="32"/>
          <w:szCs w:val="32"/>
        </w:rPr>
        <w:t>本措施由北京金融街服务局负责解释，自印发之日起实施，有效期为五年。</w:t>
      </w:r>
    </w:p>
    <w:p w14:paraId="3C0F28CD">
      <w:pPr>
        <w:adjustRightInd w:val="0"/>
        <w:spacing w:line="560" w:lineRule="exact"/>
        <w:ind w:firstLine="640" w:firstLineChars="200"/>
        <w:jc w:val="both"/>
        <w:rPr>
          <w:rFonts w:hint="eastAsia" w:ascii="仿宋_GB2312" w:eastAsia="仿宋_GB2312"/>
          <w:sz w:val="32"/>
          <w:szCs w:val="32"/>
        </w:rPr>
      </w:pPr>
      <w:r>
        <w:rPr>
          <w:rFonts w:hint="eastAsia" w:ascii="仿宋_GB2312" w:eastAsia="仿宋_GB2312"/>
          <w:sz w:val="32"/>
          <w:szCs w:val="32"/>
        </w:rPr>
        <w:t>（二）同一事项，</w:t>
      </w:r>
      <w:r>
        <w:rPr>
          <w:rFonts w:hint="eastAsia" w:ascii="仿宋_GB2312" w:eastAsia="仿宋_GB2312"/>
          <w:sz w:val="32"/>
          <w:szCs w:val="32"/>
          <w:lang w:eastAsia="zh-CN"/>
        </w:rPr>
        <w:t>企业</w:t>
      </w:r>
      <w:r>
        <w:rPr>
          <w:rFonts w:hint="eastAsia" w:ascii="仿宋_GB2312" w:eastAsia="仿宋_GB2312"/>
          <w:sz w:val="32"/>
          <w:szCs w:val="32"/>
        </w:rPr>
        <w:t>同时符合本措施和我区其他支持政策的，按照从高从优原则给予支持，</w:t>
      </w:r>
      <w:r>
        <w:rPr>
          <w:rFonts w:hint="eastAsia" w:ascii="仿宋_GB2312" w:eastAsia="仿宋_GB2312"/>
          <w:sz w:val="32"/>
          <w:szCs w:val="32"/>
          <w:lang w:val="en-US" w:eastAsia="zh-CN"/>
        </w:rPr>
        <w:t>不重复支持</w:t>
      </w:r>
      <w:r>
        <w:rPr>
          <w:rFonts w:hint="eastAsia" w:ascii="仿宋_GB2312" w:eastAsia="仿宋_GB2312"/>
          <w:sz w:val="32"/>
          <w:szCs w:val="32"/>
        </w:rPr>
        <w:t>。</w:t>
      </w:r>
    </w:p>
    <w:p w14:paraId="0004C0D7">
      <w:pPr>
        <w:pStyle w:val="6"/>
      </w:pPr>
    </w:p>
    <w:p w14:paraId="7247A0E4">
      <w:pPr>
        <w:adjustRightInd w:val="0"/>
        <w:spacing w:line="560" w:lineRule="exact"/>
        <w:rPr>
          <w:rFonts w:ascii="仿宋_GB2312" w:eastAsia="仿宋_GB2312"/>
          <w:sz w:val="32"/>
          <w:szCs w:val="32"/>
        </w:rPr>
      </w:pPr>
    </w:p>
    <w:sectPr>
      <w:footerReference r:id="rId5" w:type="default"/>
      <w:pgSz w:w="11900" w:h="16820"/>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A0000287" w:usb1="28CF3C52" w:usb2="00000016" w:usb3="00000000" w:csb0="0004001F" w:csb1="00000000"/>
  </w:font>
  <w:font w:name="Microsoft YaHei UI">
    <w:panose1 w:val="020B0503020204020204"/>
    <w:charset w:val="86"/>
    <w:family w:val="swiss"/>
    <w:pitch w:val="default"/>
    <w:sig w:usb0="A0000287" w:usb1="28C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7A"/>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F06A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57EE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157EEF">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FC"/>
    <w:rsid w:val="00090DAF"/>
    <w:rsid w:val="000A521C"/>
    <w:rsid w:val="000A7569"/>
    <w:rsid w:val="000B681B"/>
    <w:rsid w:val="000C4A5B"/>
    <w:rsid w:val="000C58A7"/>
    <w:rsid w:val="000E6AB1"/>
    <w:rsid w:val="00112DAC"/>
    <w:rsid w:val="00125BA1"/>
    <w:rsid w:val="00126D87"/>
    <w:rsid w:val="001622E6"/>
    <w:rsid w:val="00173CE3"/>
    <w:rsid w:val="001918FC"/>
    <w:rsid w:val="001D46C2"/>
    <w:rsid w:val="001F0D0A"/>
    <w:rsid w:val="001F51FD"/>
    <w:rsid w:val="001F65BC"/>
    <w:rsid w:val="00216B81"/>
    <w:rsid w:val="00247DCD"/>
    <w:rsid w:val="002D4B46"/>
    <w:rsid w:val="00305292"/>
    <w:rsid w:val="003146E4"/>
    <w:rsid w:val="00326896"/>
    <w:rsid w:val="00384B06"/>
    <w:rsid w:val="00394FBA"/>
    <w:rsid w:val="003B2120"/>
    <w:rsid w:val="003D1C12"/>
    <w:rsid w:val="003F77A3"/>
    <w:rsid w:val="00413A6F"/>
    <w:rsid w:val="00415C08"/>
    <w:rsid w:val="00463559"/>
    <w:rsid w:val="00466BE7"/>
    <w:rsid w:val="00491DD0"/>
    <w:rsid w:val="004A6237"/>
    <w:rsid w:val="004B7DE1"/>
    <w:rsid w:val="004C13BC"/>
    <w:rsid w:val="004C6950"/>
    <w:rsid w:val="004F6241"/>
    <w:rsid w:val="00515C6C"/>
    <w:rsid w:val="0053457C"/>
    <w:rsid w:val="00571910"/>
    <w:rsid w:val="00575C53"/>
    <w:rsid w:val="00613635"/>
    <w:rsid w:val="0062686C"/>
    <w:rsid w:val="00641DE9"/>
    <w:rsid w:val="0065204D"/>
    <w:rsid w:val="00680F64"/>
    <w:rsid w:val="006A042C"/>
    <w:rsid w:val="006B1E5C"/>
    <w:rsid w:val="006D3716"/>
    <w:rsid w:val="006D3999"/>
    <w:rsid w:val="0076616A"/>
    <w:rsid w:val="007A1E33"/>
    <w:rsid w:val="007A3BD7"/>
    <w:rsid w:val="00844D6F"/>
    <w:rsid w:val="0084631F"/>
    <w:rsid w:val="00861298"/>
    <w:rsid w:val="00893B76"/>
    <w:rsid w:val="008B6A64"/>
    <w:rsid w:val="008D1A67"/>
    <w:rsid w:val="008D2177"/>
    <w:rsid w:val="008D48C6"/>
    <w:rsid w:val="008F6598"/>
    <w:rsid w:val="00912978"/>
    <w:rsid w:val="009213F2"/>
    <w:rsid w:val="00946CD7"/>
    <w:rsid w:val="009604FC"/>
    <w:rsid w:val="00987454"/>
    <w:rsid w:val="009C1D29"/>
    <w:rsid w:val="009E5493"/>
    <w:rsid w:val="009E66C6"/>
    <w:rsid w:val="00A1119D"/>
    <w:rsid w:val="00A628C2"/>
    <w:rsid w:val="00AA28B3"/>
    <w:rsid w:val="00AB46FC"/>
    <w:rsid w:val="00B054BE"/>
    <w:rsid w:val="00B05EFB"/>
    <w:rsid w:val="00B7521C"/>
    <w:rsid w:val="00B87FC7"/>
    <w:rsid w:val="00BB4D95"/>
    <w:rsid w:val="00BC6B7A"/>
    <w:rsid w:val="00BE385B"/>
    <w:rsid w:val="00BF3FB2"/>
    <w:rsid w:val="00C02EC1"/>
    <w:rsid w:val="00C14640"/>
    <w:rsid w:val="00C666A9"/>
    <w:rsid w:val="00D11AE8"/>
    <w:rsid w:val="00D267B9"/>
    <w:rsid w:val="00D30CE7"/>
    <w:rsid w:val="00D51BF4"/>
    <w:rsid w:val="00D51D17"/>
    <w:rsid w:val="00D77B15"/>
    <w:rsid w:val="00DC6A28"/>
    <w:rsid w:val="00DD2E80"/>
    <w:rsid w:val="00DE5582"/>
    <w:rsid w:val="00E01D86"/>
    <w:rsid w:val="00E94F96"/>
    <w:rsid w:val="00EF3EBC"/>
    <w:rsid w:val="00F37105"/>
    <w:rsid w:val="00F42658"/>
    <w:rsid w:val="00F46509"/>
    <w:rsid w:val="00FD1E8B"/>
    <w:rsid w:val="00FF0903"/>
    <w:rsid w:val="0569DF1E"/>
    <w:rsid w:val="05A79385"/>
    <w:rsid w:val="09CFB54E"/>
    <w:rsid w:val="11ED1013"/>
    <w:rsid w:val="1B6F5C7D"/>
    <w:rsid w:val="1C7D2213"/>
    <w:rsid w:val="1CFD8336"/>
    <w:rsid w:val="1F3B7004"/>
    <w:rsid w:val="1F7F8D48"/>
    <w:rsid w:val="1FBF9F46"/>
    <w:rsid w:val="1FF722A6"/>
    <w:rsid w:val="1FFCA1F7"/>
    <w:rsid w:val="267FF9F6"/>
    <w:rsid w:val="28DFC248"/>
    <w:rsid w:val="2D9FAA6A"/>
    <w:rsid w:val="2FD70B47"/>
    <w:rsid w:val="32DB5AA2"/>
    <w:rsid w:val="32F3FDB6"/>
    <w:rsid w:val="33FB046E"/>
    <w:rsid w:val="36CD7210"/>
    <w:rsid w:val="376F1530"/>
    <w:rsid w:val="39F65ECB"/>
    <w:rsid w:val="39F9D66A"/>
    <w:rsid w:val="3BDF7AB5"/>
    <w:rsid w:val="3BE3CD6B"/>
    <w:rsid w:val="3DD35D1C"/>
    <w:rsid w:val="3DDEDD41"/>
    <w:rsid w:val="3EE7BE3E"/>
    <w:rsid w:val="3EFBDA42"/>
    <w:rsid w:val="3FF87AEC"/>
    <w:rsid w:val="4B396B97"/>
    <w:rsid w:val="4D5EB5A4"/>
    <w:rsid w:val="559DF948"/>
    <w:rsid w:val="56F72E92"/>
    <w:rsid w:val="577DBCAE"/>
    <w:rsid w:val="57BF3E02"/>
    <w:rsid w:val="59FA287D"/>
    <w:rsid w:val="5ABFBBE5"/>
    <w:rsid w:val="5BEB6F8E"/>
    <w:rsid w:val="5BF7D7E9"/>
    <w:rsid w:val="5C7FA402"/>
    <w:rsid w:val="5DDEBA1E"/>
    <w:rsid w:val="5E6D1DE5"/>
    <w:rsid w:val="5E7B04EC"/>
    <w:rsid w:val="5EF88111"/>
    <w:rsid w:val="5F7B19F8"/>
    <w:rsid w:val="5FBFB9CA"/>
    <w:rsid w:val="5FDFFCE4"/>
    <w:rsid w:val="5FE3B84B"/>
    <w:rsid w:val="5FE54C1F"/>
    <w:rsid w:val="5FFE8A16"/>
    <w:rsid w:val="63FB8373"/>
    <w:rsid w:val="65EB951A"/>
    <w:rsid w:val="65FD0BAE"/>
    <w:rsid w:val="65FF70FC"/>
    <w:rsid w:val="6A389094"/>
    <w:rsid w:val="6B17D9AF"/>
    <w:rsid w:val="6BEDD48A"/>
    <w:rsid w:val="6BFF036A"/>
    <w:rsid w:val="6DFF965C"/>
    <w:rsid w:val="6EF8A4BD"/>
    <w:rsid w:val="6F7546CA"/>
    <w:rsid w:val="6FE7CF9F"/>
    <w:rsid w:val="6FF67B47"/>
    <w:rsid w:val="70F18EF7"/>
    <w:rsid w:val="71FFF98B"/>
    <w:rsid w:val="74ED5884"/>
    <w:rsid w:val="74FBC1E1"/>
    <w:rsid w:val="7733C504"/>
    <w:rsid w:val="773F4DF0"/>
    <w:rsid w:val="776FD1AC"/>
    <w:rsid w:val="77AF367D"/>
    <w:rsid w:val="77CE607F"/>
    <w:rsid w:val="77FF1C3E"/>
    <w:rsid w:val="79D7D4D9"/>
    <w:rsid w:val="7A637419"/>
    <w:rsid w:val="7B35A3C6"/>
    <w:rsid w:val="7B5121BF"/>
    <w:rsid w:val="7BB31D4F"/>
    <w:rsid w:val="7BBF0286"/>
    <w:rsid w:val="7BBFE025"/>
    <w:rsid w:val="7BDE5BAF"/>
    <w:rsid w:val="7BEB8C6B"/>
    <w:rsid w:val="7BEF173B"/>
    <w:rsid w:val="7BFF9E7B"/>
    <w:rsid w:val="7C735D1C"/>
    <w:rsid w:val="7D1EE882"/>
    <w:rsid w:val="7D5C6834"/>
    <w:rsid w:val="7DBAC30B"/>
    <w:rsid w:val="7E7EFDE7"/>
    <w:rsid w:val="7ED903DF"/>
    <w:rsid w:val="7EDE2641"/>
    <w:rsid w:val="7EED0903"/>
    <w:rsid w:val="7EFF5C48"/>
    <w:rsid w:val="7F6F6EEF"/>
    <w:rsid w:val="7F77E9ED"/>
    <w:rsid w:val="7FDDE7C3"/>
    <w:rsid w:val="7FE27C33"/>
    <w:rsid w:val="7FE6A548"/>
    <w:rsid w:val="7FEBA8A6"/>
    <w:rsid w:val="7FEFAFCE"/>
    <w:rsid w:val="7FF3DA53"/>
    <w:rsid w:val="7FF58192"/>
    <w:rsid w:val="7FFBA9A4"/>
    <w:rsid w:val="7FFBF280"/>
    <w:rsid w:val="7FFE0C19"/>
    <w:rsid w:val="7FFE630A"/>
    <w:rsid w:val="99E75932"/>
    <w:rsid w:val="9A53212B"/>
    <w:rsid w:val="9DAD00F5"/>
    <w:rsid w:val="9E753538"/>
    <w:rsid w:val="9F7A3548"/>
    <w:rsid w:val="ADF9FD54"/>
    <w:rsid w:val="AFFE2D32"/>
    <w:rsid w:val="B4BB65BE"/>
    <w:rsid w:val="B6BBFE26"/>
    <w:rsid w:val="B77F8272"/>
    <w:rsid w:val="BB7FE3E3"/>
    <w:rsid w:val="BBBFEF65"/>
    <w:rsid w:val="BBFB91A8"/>
    <w:rsid w:val="BDCF3AE4"/>
    <w:rsid w:val="BDD9F0C1"/>
    <w:rsid w:val="BDFB616C"/>
    <w:rsid w:val="BDFE78D8"/>
    <w:rsid w:val="BF9F6F4B"/>
    <w:rsid w:val="BFDB79FF"/>
    <w:rsid w:val="BFED2BCF"/>
    <w:rsid w:val="BFEEFE1F"/>
    <w:rsid w:val="BFF93609"/>
    <w:rsid w:val="BFFAA0E0"/>
    <w:rsid w:val="C6FA6766"/>
    <w:rsid w:val="CB733CBA"/>
    <w:rsid w:val="CE395AD1"/>
    <w:rsid w:val="CF7BD5BD"/>
    <w:rsid w:val="CFDF59D8"/>
    <w:rsid w:val="D6D279B7"/>
    <w:rsid w:val="DA8FD175"/>
    <w:rsid w:val="DAE7CBC1"/>
    <w:rsid w:val="DB4EEDC3"/>
    <w:rsid w:val="DBFFF871"/>
    <w:rsid w:val="DD3F736D"/>
    <w:rsid w:val="DE789E52"/>
    <w:rsid w:val="DEBF7DFF"/>
    <w:rsid w:val="DF2708D1"/>
    <w:rsid w:val="DFF9FDE6"/>
    <w:rsid w:val="DFFD9516"/>
    <w:rsid w:val="E7DFBD57"/>
    <w:rsid w:val="E7F7D552"/>
    <w:rsid w:val="EB4FF347"/>
    <w:rsid w:val="EBDEECBA"/>
    <w:rsid w:val="EBDF62CE"/>
    <w:rsid w:val="EBECC120"/>
    <w:rsid w:val="ECF694B4"/>
    <w:rsid w:val="EE9D7472"/>
    <w:rsid w:val="EEFEDB94"/>
    <w:rsid w:val="EF56F1A1"/>
    <w:rsid w:val="EF7B916F"/>
    <w:rsid w:val="EFAF3FD6"/>
    <w:rsid w:val="EFBF40FF"/>
    <w:rsid w:val="EFBFDEBD"/>
    <w:rsid w:val="EFEB0BE5"/>
    <w:rsid w:val="EFFBCD7E"/>
    <w:rsid w:val="EFFD8FD9"/>
    <w:rsid w:val="F2BD319D"/>
    <w:rsid w:val="F2DABBFC"/>
    <w:rsid w:val="F3F7AEDD"/>
    <w:rsid w:val="F3FFD753"/>
    <w:rsid w:val="F4FBB5B3"/>
    <w:rsid w:val="F5DB1033"/>
    <w:rsid w:val="F67B94D7"/>
    <w:rsid w:val="F78D2B75"/>
    <w:rsid w:val="F79AE331"/>
    <w:rsid w:val="F7D91D09"/>
    <w:rsid w:val="F7FB8EE0"/>
    <w:rsid w:val="F7FF5834"/>
    <w:rsid w:val="FB63A1EA"/>
    <w:rsid w:val="FB7C38D3"/>
    <w:rsid w:val="FBBFF19D"/>
    <w:rsid w:val="FC6D13EE"/>
    <w:rsid w:val="FD79CC07"/>
    <w:rsid w:val="FD9BA09F"/>
    <w:rsid w:val="FDDEAC4F"/>
    <w:rsid w:val="FDFF5C42"/>
    <w:rsid w:val="FDFFB3AB"/>
    <w:rsid w:val="FEFED325"/>
    <w:rsid w:val="FEFF3230"/>
    <w:rsid w:val="FEFF782F"/>
    <w:rsid w:val="FF72AE4C"/>
    <w:rsid w:val="FF75B9A2"/>
    <w:rsid w:val="FF7D50F5"/>
    <w:rsid w:val="FFAF7399"/>
    <w:rsid w:val="FFBA3274"/>
    <w:rsid w:val="FFD2D057"/>
    <w:rsid w:val="FFDDF47F"/>
    <w:rsid w:val="FFDE0BC7"/>
    <w:rsid w:val="FFDFACA9"/>
    <w:rsid w:val="FFE2331E"/>
    <w:rsid w:val="FFE7A0BB"/>
    <w:rsid w:val="FFEC8B37"/>
    <w:rsid w:val="FFEDA504"/>
    <w:rsid w:val="FFEDF3D7"/>
    <w:rsid w:val="FFFFAEF9"/>
    <w:rsid w:val="FFFFAFC5"/>
    <w:rsid w:val="FFFFB4A3"/>
    <w:rsid w:val="FFFFE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tabs>
        <w:tab w:val="left" w:pos="2250"/>
      </w:tabs>
      <w:spacing w:before="100" w:beforeAutospacing="1" w:line="400" w:lineRule="atLeast"/>
      <w:ind w:firstLine="629"/>
    </w:pPr>
  </w:style>
  <w:style w:type="paragraph" w:styleId="3">
    <w:name w:val="Balloon Text"/>
    <w:basedOn w:val="1"/>
    <w:link w:val="14"/>
    <w:semiHidden/>
    <w:unhideWhenUsed/>
    <w:qFormat/>
    <w:uiPriority w:val="99"/>
    <w:pPr>
      <w:spacing w:after="0" w:line="240" w:lineRule="auto"/>
    </w:pPr>
    <w:rPr>
      <w:rFonts w:ascii="Microsoft YaHei UI" w:eastAsia="Microsoft YaHei UI"/>
      <w:sz w:val="18"/>
      <w:szCs w:val="18"/>
    </w:rPr>
  </w:style>
  <w:style w:type="paragraph" w:styleId="4">
    <w:name w:val="footer"/>
    <w:basedOn w:val="1"/>
    <w:link w:val="16"/>
    <w:unhideWhenUsed/>
    <w:qFormat/>
    <w:uiPriority w:val="99"/>
    <w:pPr>
      <w:tabs>
        <w:tab w:val="center" w:pos="4153"/>
        <w:tab w:val="right" w:pos="8306"/>
      </w:tabs>
      <w:snapToGrid w:val="0"/>
      <w:spacing w:line="240" w:lineRule="auto"/>
    </w:pPr>
    <w:rPr>
      <w:sz w:val="18"/>
      <w:szCs w:val="18"/>
    </w:rPr>
  </w:style>
  <w:style w:type="paragraph" w:styleId="5">
    <w:name w:val="header"/>
    <w:basedOn w:val="1"/>
    <w:link w:val="15"/>
    <w:unhideWhenUsed/>
    <w:qFormat/>
    <w:uiPriority w:val="99"/>
    <w:pPr>
      <w:tabs>
        <w:tab w:val="center" w:pos="4153"/>
        <w:tab w:val="right" w:pos="8306"/>
      </w:tabs>
      <w:snapToGrid w:val="0"/>
      <w:spacing w:line="240" w:lineRule="auto"/>
      <w:jc w:val="center"/>
    </w:pPr>
    <w:rPr>
      <w:sz w:val="18"/>
      <w:szCs w:val="18"/>
    </w:rPr>
  </w:style>
  <w:style w:type="paragraph" w:styleId="6">
    <w:name w:val="index heading"/>
    <w:basedOn w:val="1"/>
    <w:next w:val="7"/>
    <w:qFormat/>
    <w:uiPriority w:val="0"/>
    <w:rPr>
      <w:rFonts w:ascii="Arial" w:hAnsi="Arial"/>
      <w:b/>
    </w:rPr>
  </w:style>
  <w:style w:type="paragraph" w:styleId="7">
    <w:name w:val="index 1"/>
    <w:basedOn w:val="1"/>
    <w:next w:val="1"/>
    <w:qFormat/>
    <w:uiPriority w:val="0"/>
    <w:rPr>
      <w:rFonts w:ascii="Times New Roman" w:hAnsi="Times New Roman"/>
    </w:rPr>
  </w:style>
  <w:style w:type="paragraph" w:styleId="8">
    <w:name w:val="Normal (Web)"/>
    <w:basedOn w:val="1"/>
    <w:qFormat/>
    <w:uiPriority w:val="0"/>
    <w:pPr>
      <w:widowControl w:val="0"/>
      <w:spacing w:after="0"/>
      <w:jc w:val="both"/>
    </w:pPr>
    <w:rPr>
      <w:rFonts w:ascii="等线" w:hAnsi="等线" w:eastAsia="等线" w:cs="Times New Roman"/>
      <w:kern w:val="2"/>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paragraph" w:customStyle="1" w:styleId="13">
    <w:name w:val="1正文"/>
    <w:autoRedefine/>
    <w:qFormat/>
    <w:uiPriority w:val="0"/>
    <w:pPr>
      <w:spacing w:line="560" w:lineRule="exact"/>
      <w:ind w:firstLine="200" w:firstLineChars="200"/>
      <w:jc w:val="both"/>
    </w:pPr>
    <w:rPr>
      <w:rFonts w:ascii="仿宋_GB2312" w:hAnsi="仿宋_GB2312" w:eastAsiaTheme="minorEastAsia" w:cstheme="minorBidi"/>
      <w:sz w:val="32"/>
      <w:szCs w:val="22"/>
      <w:lang w:val="en-US" w:eastAsia="zh-CN" w:bidi="ar-SA"/>
    </w:rPr>
  </w:style>
  <w:style w:type="character" w:customStyle="1" w:styleId="14">
    <w:name w:val="批注框文本 字符"/>
    <w:basedOn w:val="11"/>
    <w:link w:val="3"/>
    <w:semiHidden/>
    <w:qFormat/>
    <w:uiPriority w:val="99"/>
    <w:rPr>
      <w:rFonts w:ascii="Microsoft YaHei UI" w:eastAsia="Microsoft YaHei UI"/>
      <w:sz w:val="18"/>
      <w:szCs w:val="18"/>
    </w:rPr>
  </w:style>
  <w:style w:type="character" w:customStyle="1" w:styleId="15">
    <w:name w:val="页眉 字符"/>
    <w:basedOn w:val="11"/>
    <w:link w:val="5"/>
    <w:qFormat/>
    <w:uiPriority w:val="99"/>
    <w:rPr>
      <w:sz w:val="18"/>
      <w:szCs w:val="18"/>
    </w:rPr>
  </w:style>
  <w:style w:type="character" w:customStyle="1" w:styleId="16">
    <w:name w:val="页脚 字符"/>
    <w:basedOn w:val="11"/>
    <w:link w:val="4"/>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sz w:val="22"/>
      <w:szCs w:val="22"/>
      <w:lang w:val="en-US" w:eastAsia="zh-CN" w:bidi="ar-SA"/>
    </w:rPr>
  </w:style>
  <w:style w:type="paragraph" w:customStyle="1" w:styleId="18">
    <w:name w:val="Revision"/>
    <w:hidden/>
    <w:semiHidden/>
    <w:qFormat/>
    <w:uiPriority w:val="99"/>
    <w:rPr>
      <w:rFonts w:asciiTheme="minorHAnsi" w:hAns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B9B808-2FD1-4AEB-8725-4BA9DD74ADBC}">
  <ds:schemaRefs/>
</ds:datastoreItem>
</file>

<file path=docProps/app.xml><?xml version="1.0" encoding="utf-8"?>
<Properties xmlns="http://schemas.openxmlformats.org/officeDocument/2006/extended-properties" xmlns:vt="http://schemas.openxmlformats.org/officeDocument/2006/docPropsVTypes">
  <Template>Normal</Template>
  <Pages>6</Pages>
  <Words>408</Words>
  <Characters>2327</Characters>
  <Lines>19</Lines>
  <Paragraphs>5</Paragraphs>
  <TotalTime>0</TotalTime>
  <ScaleCrop>false</ScaleCrop>
  <LinksUpToDate>false</LinksUpToDate>
  <CharactersWithSpaces>2730</CharactersWithSpaces>
  <Application>WPS Office_12.8.2.1117_F1E327BC-269C-435d-A152-05C5408002CA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2025-03-30T14:39:00Z</dcterms:created>
  <dc:creator>孙诗艺</dc:creator>
  <cp:lastModifiedBy>HUAWEI</cp:lastModifiedBy>
  <cp:lastPrinted>2025-04-30T07:22:00Z</cp:lastPrinted>
  <dcterms:modified xsi:type="dcterms:W3CDTF">2025-05-12T17:35:54Z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2052-12.8.2.1117</vt:lpwstr>
  </property>
  <property fmtid="{D5CDD505-2E9C-101B-9397-08002B2CF9AE}" pid="3" name="ICV">
    <vt:lpwstr>E67DCF5553428DB94F940568D3B3E1E4_43</vt:lpwstr>
  </property>
</Properties>
</file>