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《关于激发企业活力</w:t>
      </w:r>
    </w:p>
    <w:p w14:paraId="2FD3D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加快发展新质生产力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若干措施》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实施细则</w:t>
      </w:r>
    </w:p>
    <w:p w14:paraId="77295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（征求意见稿）的起草说明</w:t>
      </w:r>
    </w:p>
    <w:p w14:paraId="7E276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C1F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一、起草背景</w:t>
      </w:r>
    </w:p>
    <w:p w14:paraId="7C900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是科技创新的主体，在科技成果转化为现实生产力的过程中发挥着至关重要的作用。当前，企业普遍面临技术研发投入高、绿色转型成本压力大、高层次人才集聚不足等问题，亟需通过系统性政策支持降低创新风险、优化要素配置、激发企业活力。</w:t>
      </w:r>
    </w:p>
    <w:p w14:paraId="7AC7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为更好的发挥企业创新主体作用，积极培育经济发展新动能，着力构建现代化产业体系，加快发展新质生产力，石景山区发展和改革委员会研究制定《关于激发企业活力 加快发展新质生产力的若干措施》。为进一步明确政策申报主体、申报条件和支持标准，特制定配套实施细则（征求意见稿）。</w:t>
      </w:r>
    </w:p>
    <w:p w14:paraId="1505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二、主要内容</w:t>
      </w:r>
    </w:p>
    <w:p w14:paraId="265A7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实施细则分为三部分。</w:t>
      </w:r>
    </w:p>
    <w:p w14:paraId="5B762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（一）申报主体</w:t>
      </w:r>
    </w:p>
    <w:p w14:paraId="26335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明确政策支持对象及相关诚信要求。</w:t>
      </w:r>
    </w:p>
    <w:p w14:paraId="6C3A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（二）申报条件和支持标准</w:t>
      </w:r>
    </w:p>
    <w:p w14:paraId="0E48D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对《若干措施》具体条款的申报条件和支持标准进行细化。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加大研发投入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按企业研发费一定比例给予补助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创新成果首试首用，对列入市级首台（套）重大技术装备目录的产品及获得市级资金支持的产业化、示范应用项目给予补助或配套支持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设备购置和更新改造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，对采购设备的新建或在建项目以及技术改造项目给予补助；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绿色低碳升级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鼓励企业新建分布式光伏项目、购买绿色电力、开展节能技术改造和绿色低碳试点示范分别给予奖励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两业深度融合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对获评市级两业融合试点的企业给予奖励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低效楼宇、老旧厂房和配套基础设施改造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给予补助或贴息支持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支持金融机构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提升服务实体经济能力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金融机构扩大业务规模、创新金融产品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给予分级分类奖励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促进数据要素流通利用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对数据交易机构开展首登记、首交易、首入表给予配套支持，对入选国家或市级典型案例给予奖励，对企业开展数据要素综合服务给予补贴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推动教育、科技、人才一体化发展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对列入市级产教融合型企业及获得国家、市级科学技术进步奖的企业给予奖励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，对入选“景贤人才”计划的高层次人才给予支持；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举办重大活动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级别、规模和实际影响力给予补助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十一是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开展合作招商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对引入一定规模企业的专业招商机构、科创孵化平台等给予补助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发展首店经济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按年度落地首店级别、数量及运营成效给予商业运营商和商业品牌企业奖励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十三是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加快企业梯队培育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对首升规及第二年、第三年继续稳在规上的企业给予奖励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重点行业创收增效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结合重点行业企业年度营业收入规模及增速，对收入增量部分给予奖励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促进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外商投资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对外商企业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投资落地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和新认定的市级外资研发机构等给予奖励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64F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（三）附则</w:t>
      </w:r>
    </w:p>
    <w:p w14:paraId="22F5D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明确政策适用时限。</w:t>
      </w:r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4F3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6F82B">
                          <w:pPr>
                            <w:pStyle w:val="5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16F82B">
                    <w:pPr>
                      <w:pStyle w:val="5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85842"/>
    <w:rsid w:val="216DC4D7"/>
    <w:rsid w:val="2AFFFF65"/>
    <w:rsid w:val="2D7D6A0C"/>
    <w:rsid w:val="30EED3F7"/>
    <w:rsid w:val="3BBD82DF"/>
    <w:rsid w:val="3BEE133A"/>
    <w:rsid w:val="3CDD364D"/>
    <w:rsid w:val="3FF7DB6C"/>
    <w:rsid w:val="3FFF3A3F"/>
    <w:rsid w:val="4DFD38AB"/>
    <w:rsid w:val="4FDB3991"/>
    <w:rsid w:val="536EFB57"/>
    <w:rsid w:val="576F3B7B"/>
    <w:rsid w:val="57FBDE2B"/>
    <w:rsid w:val="5AFE16F4"/>
    <w:rsid w:val="5BF710E2"/>
    <w:rsid w:val="5EFE394F"/>
    <w:rsid w:val="5FDBBF16"/>
    <w:rsid w:val="5FEDA3E8"/>
    <w:rsid w:val="5FFB542C"/>
    <w:rsid w:val="69EC91D7"/>
    <w:rsid w:val="6CFEBF3B"/>
    <w:rsid w:val="6EF90F12"/>
    <w:rsid w:val="6F5705D0"/>
    <w:rsid w:val="6F77F8DF"/>
    <w:rsid w:val="6F7FC898"/>
    <w:rsid w:val="70BEC683"/>
    <w:rsid w:val="718FF064"/>
    <w:rsid w:val="739F7C1E"/>
    <w:rsid w:val="73F49A45"/>
    <w:rsid w:val="73FEF382"/>
    <w:rsid w:val="74538703"/>
    <w:rsid w:val="75DE630E"/>
    <w:rsid w:val="770366A9"/>
    <w:rsid w:val="777FB0CA"/>
    <w:rsid w:val="77DED336"/>
    <w:rsid w:val="77FF27F7"/>
    <w:rsid w:val="797F5B46"/>
    <w:rsid w:val="79BF2EDD"/>
    <w:rsid w:val="79D9B342"/>
    <w:rsid w:val="7AD71DCE"/>
    <w:rsid w:val="7CF3B362"/>
    <w:rsid w:val="7DECB57C"/>
    <w:rsid w:val="7DFF8A37"/>
    <w:rsid w:val="7EAB95F1"/>
    <w:rsid w:val="7EFE4D7A"/>
    <w:rsid w:val="7F188673"/>
    <w:rsid w:val="7F9B367E"/>
    <w:rsid w:val="7FED88A9"/>
    <w:rsid w:val="7FF71AC9"/>
    <w:rsid w:val="7FF9684A"/>
    <w:rsid w:val="90FE262A"/>
    <w:rsid w:val="9FBB6B37"/>
    <w:rsid w:val="AC6AECC3"/>
    <w:rsid w:val="AF7F9375"/>
    <w:rsid w:val="B25D2D05"/>
    <w:rsid w:val="B3FD90F6"/>
    <w:rsid w:val="B763262D"/>
    <w:rsid w:val="B7DF3207"/>
    <w:rsid w:val="B7FF16A2"/>
    <w:rsid w:val="BBFEBE93"/>
    <w:rsid w:val="BD7AAE82"/>
    <w:rsid w:val="BFDECFB9"/>
    <w:rsid w:val="BFFEBF9E"/>
    <w:rsid w:val="C81B6663"/>
    <w:rsid w:val="CF73C6BC"/>
    <w:rsid w:val="CF7CD1EA"/>
    <w:rsid w:val="D9F3ABEF"/>
    <w:rsid w:val="DEBF49EB"/>
    <w:rsid w:val="DF7F6C63"/>
    <w:rsid w:val="DF9FF390"/>
    <w:rsid w:val="E3F7C19B"/>
    <w:rsid w:val="E77B66C3"/>
    <w:rsid w:val="ED97CC72"/>
    <w:rsid w:val="EEDA3DC3"/>
    <w:rsid w:val="EF5B1DF2"/>
    <w:rsid w:val="F4CFED64"/>
    <w:rsid w:val="F74D730C"/>
    <w:rsid w:val="F7E67E46"/>
    <w:rsid w:val="F7FDDEE4"/>
    <w:rsid w:val="F7FE2715"/>
    <w:rsid w:val="F91A6EAF"/>
    <w:rsid w:val="FA5F4366"/>
    <w:rsid w:val="FAD62531"/>
    <w:rsid w:val="FBD2DA5C"/>
    <w:rsid w:val="FBFD627C"/>
    <w:rsid w:val="FCFF13AE"/>
    <w:rsid w:val="FD2FE0B6"/>
    <w:rsid w:val="FD69F86F"/>
    <w:rsid w:val="FDB7FA4C"/>
    <w:rsid w:val="FDDF4FD8"/>
    <w:rsid w:val="FEBD0604"/>
    <w:rsid w:val="FEF1908C"/>
    <w:rsid w:val="FF720F3C"/>
    <w:rsid w:val="FF72989D"/>
    <w:rsid w:val="FF7CEDD0"/>
    <w:rsid w:val="FFA64739"/>
    <w:rsid w:val="FFDC6232"/>
    <w:rsid w:val="FFF1ADC1"/>
    <w:rsid w:val="FFFB0095"/>
    <w:rsid w:val="FFFE59F8"/>
    <w:rsid w:val="FFFEC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目录 11"/>
    <w:basedOn w:val="1"/>
    <w:next w:val="1"/>
    <w:qFormat/>
    <w:uiPriority w:val="99"/>
    <w:pPr>
      <w:widowControl/>
      <w:wordWrap w:val="0"/>
    </w:pPr>
    <w:rPr>
      <w:rFonts w:ascii="Calibri" w:hAnsi="Calibri" w:eastAsia="宋体" w:cs="Times New Roman"/>
      <w:kern w:val="0"/>
      <w:sz w:val="21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1060</Characters>
  <Lines>0</Lines>
  <Paragraphs>0</Paragraphs>
  <TotalTime>56.6666666666667</TotalTime>
  <ScaleCrop>false</ScaleCrop>
  <LinksUpToDate>false</LinksUpToDate>
  <CharactersWithSpaces>1061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2025-03-31T17:59:52Z</dcterms:created>
  <dc:creator>uos</dc:creator>
  <cp:lastModifiedBy>Jing</cp:lastModifiedBy>
  <cp:lastPrinted>2025-05-13T20:01:19Z</cp:lastPrinted>
  <dcterms:modified xsi:type="dcterms:W3CDTF">2025-05-13T08:27:55Z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608A972A05844A19AF1DE6702AE3509B_13</vt:lpwstr>
  </property>
</Properties>
</file>