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cs="Times New Roman"/>
          <w:sz w:val="36"/>
          <w:szCs w:val="36"/>
        </w:rPr>
      </w:pPr>
      <w:r>
        <w:rPr>
          <w:rFonts w:hint="default" w:ascii="Times New Roman" w:hAnsi="Times New Roman" w:eastAsia="黑体" w:cs="Times New Roman"/>
          <w:sz w:val="36"/>
          <w:szCs w:val="36"/>
        </w:rPr>
        <w:t>平谷区商务局关于《北京市平谷区扩大对外开放</w:t>
      </w:r>
    </w:p>
    <w:p>
      <w:pPr>
        <w:jc w:val="center"/>
        <w:rPr>
          <w:rFonts w:ascii="Times New Roman" w:hAnsi="Times New Roman" w:eastAsia="黑体" w:cs="Times New Roman"/>
          <w:sz w:val="36"/>
          <w:szCs w:val="36"/>
        </w:rPr>
      </w:pPr>
      <w:r>
        <w:rPr>
          <w:rFonts w:hint="default" w:ascii="Times New Roman" w:hAnsi="Times New Roman" w:eastAsia="黑体" w:cs="Times New Roman"/>
          <w:sz w:val="36"/>
          <w:szCs w:val="36"/>
        </w:rPr>
        <w:t>提高外资外贸发展水平扶持办法》</w:t>
      </w:r>
    </w:p>
    <w:p>
      <w:pPr>
        <w:jc w:val="center"/>
        <w:rPr>
          <w:rFonts w:hint="default" w:ascii="Times New Roman" w:hAnsi="Times New Roman" w:eastAsia="黑体" w:cs="Times New Roman"/>
          <w:sz w:val="36"/>
          <w:szCs w:val="36"/>
        </w:rPr>
      </w:pPr>
      <w:r>
        <w:rPr>
          <w:rFonts w:hint="eastAsia" w:eastAsia="黑体" w:cs="Times New Roman"/>
          <w:sz w:val="36"/>
          <w:szCs w:val="36"/>
          <w:lang w:eastAsia="zh-CN"/>
        </w:rPr>
        <w:t>2024</w:t>
      </w:r>
      <w:r>
        <w:rPr>
          <w:rFonts w:hint="default" w:ascii="Times New Roman" w:hAnsi="Times New Roman" w:eastAsia="黑体" w:cs="Times New Roman"/>
          <w:sz w:val="36"/>
          <w:szCs w:val="36"/>
        </w:rPr>
        <w:t>年项目申报指南</w:t>
      </w:r>
    </w:p>
    <w:p>
      <w:pPr>
        <w:pStyle w:val="2"/>
        <w:rPr>
          <w:rFonts w:ascii="Times New Roman" w:hAnsi="Times New Roman"/>
        </w:rPr>
      </w:pPr>
    </w:p>
    <w:p>
      <w:pPr>
        <w:spacing w:line="560" w:lineRule="exact"/>
        <w:jc w:val="center"/>
        <w:rPr>
          <w:rFonts w:hint="eastAsia" w:eastAsia="仿宋_GB2312"/>
          <w:sz w:val="32"/>
          <w:szCs w:val="22"/>
        </w:rPr>
      </w:pPr>
      <w:r>
        <w:rPr>
          <w:rFonts w:hint="eastAsia" w:eastAsia="仿宋_GB2312"/>
          <w:sz w:val="32"/>
          <w:szCs w:val="22"/>
        </w:rPr>
        <w:t>外贸部分</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0"/>
        <w:rPr>
          <w:rFonts w:eastAsia="黑体"/>
          <w:sz w:val="32"/>
        </w:rPr>
      </w:pPr>
      <w:r>
        <w:rPr>
          <w:rFonts w:eastAsia="黑体"/>
          <w:sz w:val="32"/>
        </w:rPr>
        <w:t>一、申报对象与支持内容</w:t>
      </w:r>
    </w:p>
    <w:p>
      <w:pPr>
        <w:pStyle w:val="2"/>
        <w:keepNext w:val="0"/>
        <w:keepLines w:val="0"/>
        <w:pageBreakBefore w:val="0"/>
        <w:kinsoku/>
        <w:wordWrap/>
        <w:overflowPunct/>
        <w:topLinePunct w:val="0"/>
        <w:autoSpaceDE/>
        <w:autoSpaceDN/>
        <w:bidi w:val="0"/>
        <w:adjustRightInd/>
        <w:spacing w:after="0" w:line="560" w:lineRule="exact"/>
        <w:ind w:firstLine="640" w:firstLineChars="200"/>
        <w:textAlignment w:val="auto"/>
        <w:outlineLvl w:val="1"/>
        <w:rPr>
          <w:rFonts w:ascii="Times New Roman" w:hAnsi="Times New Roman" w:eastAsia="楷体_GB2312"/>
          <w:sz w:val="32"/>
        </w:rPr>
      </w:pPr>
      <w:r>
        <w:rPr>
          <w:rFonts w:ascii="Times New Roman" w:hAnsi="Times New Roman" w:eastAsia="楷体_GB2312"/>
          <w:sz w:val="32"/>
        </w:rPr>
        <w:t>（一）申报对象</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eastAsia="仿宋_GB2312"/>
          <w:sz w:val="32"/>
        </w:rPr>
      </w:pPr>
      <w:r>
        <w:rPr>
          <w:rFonts w:eastAsia="仿宋_GB2312"/>
          <w:sz w:val="32"/>
          <w:szCs w:val="32"/>
        </w:rPr>
        <w:t>在平谷区内已注册并办理税务登记、</w:t>
      </w:r>
      <w:r>
        <w:rPr>
          <w:rFonts w:eastAsia="仿宋_GB2312"/>
          <w:color w:val="000000"/>
          <w:sz w:val="32"/>
          <w:szCs w:val="32"/>
        </w:rPr>
        <w:t>取得进出口经营资格</w:t>
      </w:r>
      <w:r>
        <w:rPr>
          <w:rFonts w:eastAsia="仿宋_GB2312"/>
          <w:sz w:val="32"/>
          <w:szCs w:val="32"/>
        </w:rPr>
        <w:t>、外贸进出口纳入区统计、具有独立法人资格、合法经营的企业。</w:t>
      </w:r>
    </w:p>
    <w:p>
      <w:pPr>
        <w:pStyle w:val="2"/>
        <w:keepNext w:val="0"/>
        <w:keepLines w:val="0"/>
        <w:pageBreakBefore w:val="0"/>
        <w:kinsoku/>
        <w:wordWrap/>
        <w:overflowPunct/>
        <w:topLinePunct w:val="0"/>
        <w:autoSpaceDE/>
        <w:autoSpaceDN/>
        <w:bidi w:val="0"/>
        <w:adjustRightInd/>
        <w:spacing w:after="0" w:line="560" w:lineRule="exact"/>
        <w:ind w:firstLine="640" w:firstLineChars="200"/>
        <w:textAlignment w:val="auto"/>
        <w:outlineLvl w:val="1"/>
        <w:rPr>
          <w:rFonts w:ascii="Times New Roman" w:hAnsi="Times New Roman" w:eastAsia="楷体_GB2312"/>
          <w:sz w:val="32"/>
        </w:rPr>
      </w:pPr>
      <w:r>
        <w:rPr>
          <w:rFonts w:ascii="Times New Roman" w:hAnsi="Times New Roman" w:eastAsia="楷体_GB2312"/>
          <w:sz w:val="32"/>
        </w:rPr>
        <w:t>（二）申报政策</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eastAsia="仿宋_GB2312"/>
          <w:sz w:val="32"/>
        </w:rPr>
      </w:pPr>
      <w:r>
        <w:rPr>
          <w:rFonts w:eastAsia="仿宋_GB2312"/>
          <w:sz w:val="32"/>
        </w:rPr>
        <w:t>1.</w:t>
      </w:r>
      <w:r>
        <w:rPr>
          <w:rFonts w:hint="eastAsia" w:eastAsia="仿宋_GB2312"/>
          <w:sz w:val="32"/>
        </w:rPr>
        <w:t>根据《北京市平谷区扩大对外开放提高外资外贸发展水平扶持办法》（以下简称《扶持办法》</w:t>
      </w:r>
      <w:r>
        <w:rPr>
          <w:rFonts w:hint="eastAsia" w:eastAsia="仿宋_GB2312"/>
          <w:sz w:val="32"/>
          <w:lang w:eastAsia="zh-CN"/>
        </w:rPr>
        <w:t>，</w:t>
      </w:r>
      <w:r>
        <w:rPr>
          <w:rFonts w:eastAsia="仿宋_GB2312"/>
          <w:sz w:val="32"/>
        </w:rPr>
        <w:t>见附件1）明确的政策内容，支持申报的政策具体包括：</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eastAsia="仿宋_GB2312"/>
          <w:sz w:val="32"/>
        </w:rPr>
      </w:pPr>
      <w:r>
        <w:rPr>
          <w:rFonts w:eastAsia="仿宋_GB2312"/>
          <w:sz w:val="32"/>
        </w:rPr>
        <w:t>（1）支持企业参展开拓市场；</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eastAsia="仿宋_GB2312"/>
          <w:sz w:val="32"/>
        </w:rPr>
      </w:pPr>
      <w:r>
        <w:rPr>
          <w:rFonts w:eastAsia="仿宋_GB2312"/>
          <w:sz w:val="32"/>
        </w:rPr>
        <w:t>（2）</w:t>
      </w:r>
      <w:r>
        <w:rPr>
          <w:rFonts w:hint="eastAsia" w:eastAsia="仿宋_GB2312"/>
          <w:sz w:val="32"/>
        </w:rPr>
        <w:t>促进企业国际化经营能力提升</w:t>
      </w:r>
      <w:r>
        <w:rPr>
          <w:rFonts w:eastAsia="仿宋_GB2312"/>
          <w:sz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eastAsia="仿宋_GB2312"/>
          <w:sz w:val="32"/>
          <w:lang w:eastAsia="zh-CN"/>
        </w:rPr>
      </w:pPr>
      <w:r>
        <w:rPr>
          <w:rFonts w:eastAsia="仿宋_GB2312"/>
          <w:sz w:val="32"/>
        </w:rPr>
        <w:t>（3）</w:t>
      </w:r>
      <w:r>
        <w:rPr>
          <w:rFonts w:hint="eastAsia" w:eastAsia="仿宋_GB2312"/>
          <w:sz w:val="32"/>
        </w:rPr>
        <w:t>鼓励进出口外贸企业办理人民币外汇衍生品业务</w:t>
      </w:r>
      <w:r>
        <w:rPr>
          <w:rFonts w:hint="eastAsia" w:eastAsia="仿宋_GB2312"/>
          <w:sz w:val="32"/>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eastAsia="仿宋_GB2312"/>
          <w:sz w:val="32"/>
          <w:lang w:eastAsia="zh-CN"/>
        </w:rPr>
      </w:pPr>
      <w:r>
        <w:rPr>
          <w:rFonts w:hint="eastAsia" w:eastAsia="仿宋_GB2312"/>
          <w:sz w:val="32"/>
          <w:lang w:eastAsia="zh-CN"/>
        </w:rPr>
        <w:t>（</w:t>
      </w:r>
      <w:r>
        <w:rPr>
          <w:rFonts w:hint="eastAsia" w:eastAsia="仿宋_GB2312"/>
          <w:sz w:val="32"/>
          <w:lang w:val="en-US" w:eastAsia="zh-CN"/>
        </w:rPr>
        <w:t>4</w:t>
      </w:r>
      <w:r>
        <w:rPr>
          <w:rFonts w:hint="eastAsia" w:eastAsia="仿宋_GB2312"/>
          <w:sz w:val="32"/>
          <w:lang w:eastAsia="zh-CN"/>
        </w:rPr>
        <w:t>）</w:t>
      </w:r>
      <w:r>
        <w:rPr>
          <w:rFonts w:hint="eastAsia" w:eastAsia="仿宋_GB2312"/>
          <w:sz w:val="32"/>
        </w:rPr>
        <w:t>支持</w:t>
      </w:r>
      <w:r>
        <w:rPr>
          <w:rFonts w:hint="eastAsia" w:eastAsia="仿宋_GB2312"/>
          <w:sz w:val="32"/>
          <w:lang w:val="en-US" w:eastAsia="zh-CN"/>
        </w:rPr>
        <w:t>平谷</w:t>
      </w:r>
      <w:r>
        <w:rPr>
          <w:rFonts w:hint="eastAsia" w:eastAsia="仿宋_GB2312"/>
          <w:sz w:val="32"/>
        </w:rPr>
        <w:t>区特色农产品（包括使用平谷区农产品的深加工产品）出口</w:t>
      </w:r>
      <w:r>
        <w:rPr>
          <w:rFonts w:hint="eastAsia" w:eastAsia="仿宋_GB2312"/>
          <w:sz w:val="32"/>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eastAsia="仿宋_GB2312"/>
          <w:sz w:val="32"/>
          <w:lang w:eastAsia="zh-CN"/>
        </w:rPr>
      </w:pPr>
      <w:r>
        <w:rPr>
          <w:rFonts w:hint="eastAsia" w:eastAsia="仿宋_GB2312"/>
          <w:sz w:val="32"/>
          <w:lang w:eastAsia="zh-CN"/>
        </w:rPr>
        <w:t>（</w:t>
      </w:r>
      <w:r>
        <w:rPr>
          <w:rFonts w:hint="eastAsia" w:eastAsia="仿宋_GB2312"/>
          <w:sz w:val="32"/>
          <w:lang w:val="en-US" w:eastAsia="zh-CN"/>
        </w:rPr>
        <w:t>5</w:t>
      </w:r>
      <w:r>
        <w:rPr>
          <w:rFonts w:hint="eastAsia" w:eastAsia="仿宋_GB2312"/>
          <w:sz w:val="32"/>
          <w:lang w:eastAsia="zh-CN"/>
        </w:rPr>
        <w:t>）</w:t>
      </w:r>
      <w:r>
        <w:rPr>
          <w:rFonts w:hint="eastAsia" w:eastAsia="仿宋_GB2312"/>
          <w:sz w:val="32"/>
        </w:rPr>
        <w:t>支持农业科技企业开展自主创新</w:t>
      </w:r>
      <w:r>
        <w:rPr>
          <w:rFonts w:hint="eastAsia" w:eastAsia="仿宋_GB2312"/>
          <w:sz w:val="32"/>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eastAsia="仿宋_GB2312"/>
          <w:sz w:val="32"/>
          <w:lang w:eastAsia="zh-CN"/>
        </w:rPr>
      </w:pPr>
      <w:r>
        <w:rPr>
          <w:rFonts w:hint="eastAsia" w:eastAsia="仿宋_GB2312"/>
          <w:sz w:val="32"/>
          <w:lang w:eastAsia="zh-CN"/>
        </w:rPr>
        <w:t>（</w:t>
      </w:r>
      <w:r>
        <w:rPr>
          <w:rFonts w:hint="eastAsia" w:eastAsia="仿宋_GB2312"/>
          <w:sz w:val="32"/>
          <w:lang w:val="en-US" w:eastAsia="zh-CN"/>
        </w:rPr>
        <w:t>6</w:t>
      </w:r>
      <w:r>
        <w:rPr>
          <w:rFonts w:hint="eastAsia" w:eastAsia="仿宋_GB2312"/>
          <w:sz w:val="32"/>
          <w:lang w:eastAsia="zh-CN"/>
        </w:rPr>
        <w:t>）支持企业开展对外直接投资。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eastAsia="仿宋_GB2312"/>
          <w:sz w:val="32"/>
        </w:rPr>
      </w:pPr>
      <w:r>
        <w:rPr>
          <w:rFonts w:hint="eastAsia" w:eastAsia="仿宋_GB2312"/>
          <w:sz w:val="32"/>
          <w:lang w:val="en-US" w:eastAsia="zh-CN"/>
        </w:rPr>
        <w:t>2</w:t>
      </w:r>
      <w:r>
        <w:rPr>
          <w:rFonts w:eastAsia="仿宋_GB2312"/>
          <w:sz w:val="32"/>
        </w:rPr>
        <w:t>.《扶持办法》中“做好出口退（免）税服务、提升通关服务便利化水平、优化企业融资环境、做好人才支</w:t>
      </w:r>
      <w:r>
        <w:rPr>
          <w:rFonts w:hint="eastAsia" w:eastAsia="仿宋_GB2312"/>
          <w:sz w:val="32"/>
          <w:lang w:val="en-US" w:eastAsia="zh-CN"/>
        </w:rPr>
        <w:t>持</w:t>
      </w:r>
      <w:r>
        <w:rPr>
          <w:rFonts w:eastAsia="仿宋_GB2312"/>
          <w:sz w:val="32"/>
        </w:rPr>
        <w:t>工作”等服务类政策由区财政局、平谷海关、区委组织部等部门负责实施。</w:t>
      </w:r>
    </w:p>
    <w:p>
      <w:pPr>
        <w:pStyle w:val="2"/>
        <w:keepNext w:val="0"/>
        <w:keepLines w:val="0"/>
        <w:pageBreakBefore w:val="0"/>
        <w:kinsoku/>
        <w:wordWrap/>
        <w:overflowPunct/>
        <w:topLinePunct w:val="0"/>
        <w:autoSpaceDE/>
        <w:autoSpaceDN/>
        <w:bidi w:val="0"/>
        <w:adjustRightInd/>
        <w:spacing w:after="0" w:line="560" w:lineRule="exact"/>
        <w:ind w:firstLine="640" w:firstLineChars="200"/>
        <w:textAlignment w:val="auto"/>
        <w:outlineLvl w:val="1"/>
        <w:rPr>
          <w:rFonts w:ascii="Times New Roman" w:hAnsi="Times New Roman" w:eastAsia="楷体_GB2312"/>
          <w:sz w:val="32"/>
        </w:rPr>
      </w:pPr>
      <w:r>
        <w:rPr>
          <w:rFonts w:ascii="Times New Roman" w:hAnsi="Times New Roman" w:eastAsia="楷体_GB2312"/>
          <w:sz w:val="32"/>
        </w:rPr>
        <w:t>（三）支持方式</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eastAsia="仿宋_GB2312"/>
          <w:bCs/>
          <w:sz w:val="32"/>
          <w:szCs w:val="32"/>
        </w:rPr>
      </w:pPr>
      <w:r>
        <w:rPr>
          <w:rFonts w:eastAsia="仿宋_GB2312"/>
          <w:bCs/>
          <w:sz w:val="32"/>
          <w:szCs w:val="32"/>
        </w:rPr>
        <w:t>事后</w:t>
      </w:r>
      <w:r>
        <w:rPr>
          <w:rFonts w:hint="eastAsia" w:eastAsia="仿宋_GB2312"/>
          <w:bCs/>
          <w:sz w:val="32"/>
          <w:szCs w:val="32"/>
        </w:rPr>
        <w:t>补贴</w:t>
      </w:r>
      <w:r>
        <w:rPr>
          <w:rFonts w:eastAsia="仿宋_GB2312"/>
          <w:bCs/>
          <w:sz w:val="32"/>
          <w:szCs w:val="32"/>
        </w:rPr>
        <w:t>、自愿申报、</w:t>
      </w:r>
      <w:r>
        <w:rPr>
          <w:rFonts w:hint="eastAsia" w:eastAsia="仿宋_GB2312"/>
          <w:bCs/>
          <w:sz w:val="32"/>
          <w:szCs w:val="32"/>
        </w:rPr>
        <w:t>部门</w:t>
      </w:r>
      <w:r>
        <w:rPr>
          <w:rFonts w:eastAsia="仿宋_GB2312"/>
          <w:bCs/>
          <w:sz w:val="32"/>
          <w:szCs w:val="32"/>
        </w:rPr>
        <w:t>审定。</w:t>
      </w:r>
    </w:p>
    <w:p>
      <w:pPr>
        <w:pStyle w:val="10"/>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textAlignment w:val="auto"/>
        <w:outlineLvl w:val="0"/>
        <w:rPr>
          <w:rFonts w:ascii="Times New Roman" w:hAnsi="Times New Roman" w:eastAsia="黑体" w:cs="Times New Roman"/>
          <w:bCs/>
          <w:sz w:val="32"/>
          <w:szCs w:val="32"/>
        </w:rPr>
      </w:pPr>
      <w:r>
        <w:rPr>
          <w:rFonts w:ascii="Times New Roman" w:hAnsi="Times New Roman" w:eastAsia="黑体" w:cs="Times New Roman"/>
          <w:bCs/>
          <w:sz w:val="32"/>
          <w:szCs w:val="32"/>
        </w:rPr>
        <w:t>二、具体政策申报要求</w:t>
      </w:r>
    </w:p>
    <w:p>
      <w:pPr>
        <w:pStyle w:val="10"/>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textAlignment w:val="auto"/>
        <w:outlineLvl w:val="1"/>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（一）</w:t>
      </w:r>
      <w:r>
        <w:rPr>
          <w:rFonts w:ascii="Times New Roman" w:hAnsi="Times New Roman" w:eastAsia="楷体_GB2312" w:cs="Times New Roman"/>
          <w:sz w:val="32"/>
          <w:szCs w:val="32"/>
        </w:rPr>
        <w:t>企业参展开拓市场政策申报指南</w:t>
      </w:r>
    </w:p>
    <w:p>
      <w:pPr>
        <w:pStyle w:val="10"/>
        <w:keepNext w:val="0"/>
        <w:keepLines w:val="0"/>
        <w:pageBreakBefore w:val="0"/>
        <w:kinsoku/>
        <w:wordWrap/>
        <w:overflowPunct/>
        <w:topLinePunct w:val="0"/>
        <w:autoSpaceDE/>
        <w:autoSpaceDN/>
        <w:bidi w:val="0"/>
        <w:adjustRightInd/>
        <w:spacing w:before="0" w:beforeAutospacing="0" w:after="0" w:afterAutospacing="0" w:line="560" w:lineRule="exact"/>
        <w:ind w:firstLine="642" w:firstLineChars="200"/>
        <w:textAlignment w:val="auto"/>
        <w:outlineLvl w:val="2"/>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rPr>
        <w:t>1.</w:t>
      </w:r>
      <w:bookmarkStart w:id="0" w:name="_Hlk75885613"/>
      <w:r>
        <w:rPr>
          <w:rFonts w:ascii="Times New Roman" w:hAnsi="Times New Roman" w:eastAsia="仿宋_GB2312" w:cs="Times New Roman"/>
          <w:b/>
          <w:color w:val="auto"/>
          <w:sz w:val="32"/>
          <w:szCs w:val="32"/>
        </w:rPr>
        <w:t>政策内容与支持标准</w:t>
      </w:r>
      <w:bookmarkEnd w:id="0"/>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eastAsia="仿宋_GB2312"/>
          <w:bCs/>
          <w:sz w:val="32"/>
          <w:szCs w:val="32"/>
        </w:rPr>
      </w:pPr>
      <w:r>
        <w:rPr>
          <w:rFonts w:eastAsia="仿宋_GB2312"/>
          <w:bCs/>
          <w:sz w:val="32"/>
          <w:szCs w:val="32"/>
        </w:rPr>
        <w:t>重点支持出口产品为农产品、服装、手工艺品、汽车配件、仪器设备、技术支持服务等出口企业，支持方向如下：</w:t>
      </w:r>
    </w:p>
    <w:p>
      <w:pPr>
        <w:pStyle w:val="2"/>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ascii="Times New Roman" w:hAnsi="Times New Roman" w:eastAsia="仿宋_GB2312"/>
          <w:bCs/>
          <w:sz w:val="32"/>
          <w:szCs w:val="32"/>
        </w:rPr>
      </w:pPr>
      <w:r>
        <w:rPr>
          <w:rFonts w:ascii="Times New Roman" w:hAnsi="Times New Roman" w:eastAsia="仿宋_GB2312"/>
          <w:bCs/>
          <w:sz w:val="32"/>
          <w:szCs w:val="32"/>
        </w:rPr>
        <w:t>（1）对企业参加境内外的国际性展会（包括线上线下）的</w:t>
      </w:r>
      <w:r>
        <w:rPr>
          <w:rFonts w:ascii="Times New Roman" w:hAnsi="Times New Roman" w:eastAsia="仿宋_GB2312"/>
          <w:bCs/>
          <w:color w:val="000000" w:themeColor="text1"/>
          <w:sz w:val="32"/>
          <w:szCs w:val="32"/>
          <w14:textFill>
            <w14:solidFill>
              <w14:schemeClr w14:val="tx1"/>
            </w14:solidFill>
          </w14:textFill>
        </w:rPr>
        <w:t>展位费、注册费、展位搭建费、大型展品回运费给予补贴（展位费仅包括基本展台费</w:t>
      </w:r>
      <w:r>
        <w:rPr>
          <w:rFonts w:hint="eastAsia" w:ascii="Times New Roman" w:hAnsi="Times New Roman" w:eastAsia="仿宋_GB2312"/>
          <w:bCs/>
          <w:color w:val="000000" w:themeColor="text1"/>
          <w:sz w:val="32"/>
          <w:szCs w:val="32"/>
          <w14:textFill>
            <w14:solidFill>
              <w14:schemeClr w14:val="tx1"/>
            </w14:solidFill>
          </w14:textFill>
        </w:rPr>
        <w:t>、</w:t>
      </w:r>
      <w:r>
        <w:rPr>
          <w:rFonts w:ascii="Times New Roman" w:hAnsi="Times New Roman" w:eastAsia="仿宋_GB2312"/>
          <w:bCs/>
          <w:color w:val="000000" w:themeColor="text1"/>
          <w:sz w:val="32"/>
          <w:szCs w:val="32"/>
          <w14:textFill>
            <w14:solidFill>
              <w14:schemeClr w14:val="tx1"/>
            </w14:solidFill>
          </w14:textFill>
        </w:rPr>
        <w:t>桌椅、灯光等</w:t>
      </w:r>
      <w:r>
        <w:rPr>
          <w:rFonts w:hint="eastAsia" w:ascii="Times New Roman" w:hAnsi="Times New Roman" w:eastAsia="仿宋_GB2312"/>
          <w:bCs/>
          <w:color w:val="000000" w:themeColor="text1"/>
          <w:sz w:val="32"/>
          <w:szCs w:val="32"/>
          <w14:textFill>
            <w14:solidFill>
              <w14:schemeClr w14:val="tx1"/>
            </w14:solidFill>
          </w14:textFill>
        </w:rPr>
        <w:t>费用</w:t>
      </w:r>
      <w:r>
        <w:rPr>
          <w:rFonts w:ascii="Times New Roman" w:hAnsi="Times New Roman" w:eastAsia="仿宋_GB2312"/>
          <w:bCs/>
          <w:color w:val="000000" w:themeColor="text1"/>
          <w:sz w:val="32"/>
          <w:szCs w:val="32"/>
          <w14:textFill>
            <w14:solidFill>
              <w14:schemeClr w14:val="tx1"/>
            </w14:solidFill>
          </w14:textFill>
        </w:rPr>
        <w:t>，不包括特装</w:t>
      </w:r>
      <w:r>
        <w:rPr>
          <w:rFonts w:ascii="Times New Roman" w:hAnsi="Times New Roman" w:eastAsia="仿宋_GB2312"/>
          <w:bCs/>
          <w:sz w:val="32"/>
          <w:szCs w:val="32"/>
        </w:rPr>
        <w:t>费及媒体宣传费</w:t>
      </w:r>
      <w:r>
        <w:rPr>
          <w:rFonts w:hint="eastAsia" w:ascii="Times New Roman" w:hAnsi="Times New Roman" w:eastAsia="仿宋_GB2312"/>
          <w:bCs/>
          <w:sz w:val="32"/>
          <w:szCs w:val="32"/>
          <w:lang w:eastAsia="zh-CN"/>
        </w:rPr>
        <w:t>；大型展品回运费只支持单位体积1立方米且重量1吨以上的展品回运费用</w:t>
      </w:r>
      <w:r>
        <w:rPr>
          <w:rFonts w:ascii="Times New Roman" w:hAnsi="Times New Roman" w:eastAsia="仿宋_GB2312"/>
          <w:bCs/>
          <w:sz w:val="32"/>
          <w:szCs w:val="32"/>
        </w:rPr>
        <w:t>）</w:t>
      </w:r>
      <w:r>
        <w:rPr>
          <w:rFonts w:hint="eastAsia" w:ascii="Times New Roman" w:hAnsi="Times New Roman" w:eastAsia="仿宋_GB2312"/>
          <w:bCs/>
          <w:sz w:val="32"/>
          <w:szCs w:val="32"/>
        </w:rPr>
        <w:t>。</w:t>
      </w:r>
    </w:p>
    <w:p>
      <w:pPr>
        <w:pStyle w:val="2"/>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bCs/>
          <w:sz w:val="32"/>
          <w:szCs w:val="32"/>
        </w:rPr>
        <w:t>（2）对企业进行境外国际市场考察给予交通费和生活补助费补贴。（境外</w:t>
      </w:r>
      <w:r>
        <w:rPr>
          <w:rFonts w:ascii="Times New Roman" w:hAnsi="Times New Roman" w:eastAsia="仿宋_GB2312"/>
          <w:sz w:val="32"/>
          <w:szCs w:val="32"/>
        </w:rPr>
        <w:t>国际市场考察，是指为全面了解和掌握国际市场商品销售情况、建立和完善销售渠道</w:t>
      </w:r>
      <w:r>
        <w:rPr>
          <w:rFonts w:hint="eastAsia" w:ascii="Times New Roman" w:hAnsi="Times New Roman" w:eastAsia="仿宋_GB2312"/>
          <w:sz w:val="32"/>
          <w:szCs w:val="32"/>
        </w:rPr>
        <w:t>等</w:t>
      </w:r>
      <w:r>
        <w:rPr>
          <w:rFonts w:ascii="Times New Roman" w:hAnsi="Times New Roman" w:eastAsia="仿宋_GB2312"/>
          <w:sz w:val="32"/>
          <w:szCs w:val="32"/>
        </w:rPr>
        <w:t>而对境外市场进行的商务考察和调研活动，不包括参加境外国际性展会活动。交通费是指考察人员所乘航班的经济舱费用，即国别（地区）间往返费用，如采用其他交通工具，支持标准不超过同段航程飞机经济舱费用；生活补助费包括住宿费、伙食费</w:t>
      </w:r>
      <w:r>
        <w:rPr>
          <w:rFonts w:hint="eastAsia" w:ascii="Times New Roman" w:hAnsi="Times New Roman" w:eastAsia="仿宋_GB2312"/>
          <w:sz w:val="32"/>
          <w:szCs w:val="32"/>
        </w:rPr>
        <w:t>。申请补贴人员不超过2人。</w:t>
      </w:r>
      <w:r>
        <w:rPr>
          <w:rFonts w:ascii="Times New Roman" w:hAnsi="Times New Roman" w:eastAsia="仿宋_GB2312"/>
          <w:sz w:val="32"/>
          <w:szCs w:val="32"/>
        </w:rPr>
        <w:t>）</w:t>
      </w:r>
    </w:p>
    <w:p>
      <w:pPr>
        <w:pStyle w:val="2"/>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sz w:val="32"/>
          <w:szCs w:val="32"/>
        </w:rPr>
        <w:t>对于符合</w:t>
      </w: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w:t>
      </w:r>
      <w:r>
        <w:rPr>
          <w:rFonts w:ascii="Times New Roman" w:hAnsi="Times New Roman" w:eastAsia="仿宋_GB2312"/>
          <w:sz w:val="32"/>
          <w:szCs w:val="32"/>
        </w:rPr>
        <w:t>项支持内容且支出金额大于3万元人民币（含3万元）的项目予以支持，单体企业支持比例不超过项目支出总额的50%，企业单个项目支持金额最高不超过10万元人民币；</w:t>
      </w:r>
      <w:r>
        <w:rPr>
          <w:rFonts w:hint="eastAsia" w:ascii="Times New Roman" w:hAnsi="Times New Roman" w:eastAsia="仿宋_GB2312"/>
          <w:sz w:val="32"/>
          <w:szCs w:val="32"/>
        </w:rPr>
        <w:t>单体企业本年度</w:t>
      </w:r>
      <w:r>
        <w:rPr>
          <w:rFonts w:ascii="Times New Roman" w:hAnsi="Times New Roman" w:eastAsia="仿宋_GB2312"/>
          <w:sz w:val="32"/>
          <w:szCs w:val="32"/>
        </w:rPr>
        <w:t>累计支持金额不超过20万元人民币。</w:t>
      </w:r>
      <w:r>
        <w:rPr>
          <w:rFonts w:ascii="Times New Roman" w:hAnsi="Times New Roman" w:eastAsia="仿宋_GB2312"/>
          <w:color w:val="000000"/>
          <w:sz w:val="32"/>
          <w:szCs w:val="32"/>
        </w:rPr>
        <w:t>连续两年获得资金支持仍无出口业绩者，第三年暂停申报。</w:t>
      </w:r>
    </w:p>
    <w:p>
      <w:pPr>
        <w:pStyle w:val="10"/>
        <w:keepNext w:val="0"/>
        <w:keepLines w:val="0"/>
        <w:pageBreakBefore w:val="0"/>
        <w:kinsoku/>
        <w:wordWrap/>
        <w:overflowPunct/>
        <w:topLinePunct w:val="0"/>
        <w:autoSpaceDE/>
        <w:autoSpaceDN/>
        <w:bidi w:val="0"/>
        <w:adjustRightInd/>
        <w:spacing w:before="0" w:beforeAutospacing="0" w:after="0" w:afterAutospacing="0" w:line="560" w:lineRule="exact"/>
        <w:ind w:firstLine="642" w:firstLineChars="200"/>
        <w:textAlignment w:val="auto"/>
        <w:outlineLvl w:val="2"/>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rPr>
        <w:t>2.申报条件</w:t>
      </w:r>
    </w:p>
    <w:p>
      <w:pPr>
        <w:keepNext w:val="0"/>
        <w:keepLines w:val="0"/>
        <w:pageBreakBefore w:val="0"/>
        <w:kinsoku/>
        <w:wordWrap/>
        <w:overflowPunct/>
        <w:topLinePunct w:val="0"/>
        <w:autoSpaceDE/>
        <w:autoSpaceDN/>
        <w:bidi w:val="0"/>
        <w:adjustRightInd/>
        <w:spacing w:line="560" w:lineRule="exact"/>
        <w:ind w:firstLine="633" w:firstLineChars="198"/>
        <w:textAlignment w:val="auto"/>
        <w:rPr>
          <w:rFonts w:eastAsia="仿宋_GB2312"/>
          <w:sz w:val="32"/>
          <w:szCs w:val="32"/>
        </w:rPr>
      </w:pPr>
      <w:r>
        <w:rPr>
          <w:rFonts w:hint="eastAsia" w:eastAsia="仿宋_GB2312"/>
          <w:sz w:val="32"/>
          <w:szCs w:val="32"/>
        </w:rPr>
        <w:t>申报</w:t>
      </w:r>
      <w:r>
        <w:rPr>
          <w:rFonts w:eastAsia="仿宋_GB2312"/>
          <w:sz w:val="32"/>
          <w:szCs w:val="32"/>
        </w:rPr>
        <w:t>该政策</w:t>
      </w:r>
      <w:r>
        <w:rPr>
          <w:rFonts w:hint="eastAsia" w:eastAsia="仿宋_GB2312"/>
          <w:sz w:val="32"/>
          <w:szCs w:val="32"/>
        </w:rPr>
        <w:t>的</w:t>
      </w:r>
      <w:r>
        <w:rPr>
          <w:rFonts w:eastAsia="仿宋_GB2312"/>
          <w:sz w:val="32"/>
          <w:szCs w:val="32"/>
        </w:rPr>
        <w:t>企业应同时符合以下条件：</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3"/>
        <w:rPr>
          <w:rFonts w:eastAsia="仿宋_GB2312"/>
          <w:sz w:val="32"/>
          <w:szCs w:val="32"/>
        </w:rPr>
      </w:pPr>
      <w:r>
        <w:rPr>
          <w:rFonts w:eastAsia="仿宋_GB2312"/>
          <w:sz w:val="32"/>
          <w:szCs w:val="32"/>
        </w:rPr>
        <w:t>（1）在平谷区办理工商登记、具有企业法人资格、且税收解缴关系在平谷区的企业。</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3"/>
        <w:rPr>
          <w:rFonts w:eastAsia="仿宋_GB2312"/>
          <w:sz w:val="32"/>
          <w:szCs w:val="32"/>
        </w:rPr>
      </w:pPr>
      <w:r>
        <w:rPr>
          <w:rFonts w:eastAsia="仿宋_GB2312"/>
          <w:sz w:val="32"/>
          <w:szCs w:val="32"/>
        </w:rPr>
        <w:t>（2）依法取得进出口经营资格的企业法人。</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3"/>
        <w:rPr>
          <w:rFonts w:eastAsia="仿宋_GB2312"/>
          <w:sz w:val="32"/>
          <w:szCs w:val="32"/>
        </w:rPr>
      </w:pPr>
      <w:r>
        <w:rPr>
          <w:rFonts w:eastAsia="仿宋_GB2312"/>
          <w:sz w:val="32"/>
          <w:szCs w:val="32"/>
        </w:rPr>
        <w:t>（3）吸纳本区劳动力就业。</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3"/>
        <w:rPr>
          <w:rFonts w:eastAsia="仿宋_GB2312"/>
          <w:sz w:val="32"/>
          <w:szCs w:val="32"/>
        </w:rPr>
      </w:pPr>
      <w:r>
        <w:rPr>
          <w:rFonts w:eastAsia="仿宋_GB2312"/>
          <w:sz w:val="32"/>
          <w:szCs w:val="32"/>
        </w:rPr>
        <w:t>（4）申报企业拥有从事国际市场开拓的专业人员，对开拓国际市场有明确的工作安排和市场开拓计划。</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3"/>
        <w:rPr>
          <w:rFonts w:eastAsia="仿宋_GB2312"/>
          <w:sz w:val="32"/>
          <w:szCs w:val="32"/>
        </w:rPr>
      </w:pPr>
      <w:r>
        <w:rPr>
          <w:rFonts w:eastAsia="仿宋_GB2312"/>
          <w:sz w:val="32"/>
          <w:szCs w:val="32"/>
        </w:rPr>
        <w:t>（5）近</w:t>
      </w:r>
      <w:r>
        <w:rPr>
          <w:rFonts w:hint="eastAsia" w:eastAsia="仿宋_GB2312"/>
          <w:sz w:val="32"/>
          <w:szCs w:val="32"/>
          <w:lang w:val="en-US" w:eastAsia="zh-CN"/>
        </w:rPr>
        <w:t>三</w:t>
      </w:r>
      <w:r>
        <w:rPr>
          <w:rFonts w:eastAsia="仿宋_GB2312"/>
          <w:sz w:val="32"/>
          <w:szCs w:val="32"/>
        </w:rPr>
        <w:t>年在外经贸业务管理、财务管理、税收管理、外汇管理、海关管理等方面无</w:t>
      </w:r>
      <w:r>
        <w:rPr>
          <w:rFonts w:hint="eastAsia" w:eastAsia="仿宋_GB2312"/>
          <w:sz w:val="32"/>
          <w:szCs w:val="32"/>
        </w:rPr>
        <w:t>严重</w:t>
      </w:r>
      <w:r>
        <w:rPr>
          <w:rFonts w:eastAsia="仿宋_GB2312"/>
          <w:sz w:val="32"/>
          <w:szCs w:val="32"/>
        </w:rPr>
        <w:t>违法行为，无不良信用记录。</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3"/>
        <w:rPr>
          <w:rFonts w:hint="eastAsia" w:eastAsia="仿宋_GB2312"/>
          <w:sz w:val="32"/>
          <w:szCs w:val="32"/>
          <w:lang w:eastAsia="zh-CN"/>
        </w:rPr>
      </w:pPr>
      <w:r>
        <w:rPr>
          <w:rFonts w:eastAsia="仿宋_GB2312"/>
          <w:sz w:val="32"/>
          <w:szCs w:val="32"/>
        </w:rPr>
        <w:t>（6）自觉遵守安全生产、环境保护等各项规定，积极配合区级统计、调查等相关工作</w:t>
      </w:r>
      <w:r>
        <w:rPr>
          <w:rFonts w:hint="eastAsia" w:eastAsia="仿宋_GB2312"/>
          <w:sz w:val="32"/>
          <w:szCs w:val="32"/>
          <w:lang w:eastAsia="zh-CN"/>
        </w:rPr>
        <w:t>。</w:t>
      </w:r>
    </w:p>
    <w:p>
      <w:pPr>
        <w:snapToGrid w:val="0"/>
        <w:spacing w:line="560" w:lineRule="exact"/>
        <w:ind w:firstLine="640" w:firstLineChars="200"/>
        <w:outlineLvl w:val="3"/>
        <w:rPr>
          <w:rFonts w:hint="eastAsia" w:eastAsia="仿宋_GB2312"/>
          <w:color w:val="auto"/>
          <w:sz w:val="32"/>
          <w:szCs w:val="32"/>
          <w:highlight w:val="none"/>
          <w:lang w:eastAsia="zh-CN"/>
        </w:rPr>
      </w:pPr>
      <w:r>
        <w:rPr>
          <w:rFonts w:eastAsia="仿宋_GB2312"/>
          <w:color w:val="auto"/>
          <w:sz w:val="32"/>
          <w:szCs w:val="32"/>
          <w:highlight w:val="none"/>
        </w:rPr>
        <w:t>（</w:t>
      </w:r>
      <w:r>
        <w:rPr>
          <w:rFonts w:hint="eastAsia" w:eastAsia="仿宋_GB2312"/>
          <w:color w:val="auto"/>
          <w:sz w:val="32"/>
          <w:szCs w:val="32"/>
          <w:highlight w:val="none"/>
          <w:lang w:val="en-US" w:eastAsia="zh-CN"/>
        </w:rPr>
        <w:t>7</w:t>
      </w:r>
      <w:r>
        <w:rPr>
          <w:rFonts w:eastAsia="仿宋_GB2312"/>
          <w:color w:val="auto"/>
          <w:sz w:val="32"/>
          <w:szCs w:val="32"/>
          <w:highlight w:val="none"/>
        </w:rPr>
        <w:t>）申报企业</w:t>
      </w:r>
      <w:r>
        <w:rPr>
          <w:rFonts w:hint="eastAsia" w:eastAsia="仿宋_GB2312"/>
          <w:color w:val="auto"/>
          <w:sz w:val="32"/>
          <w:szCs w:val="32"/>
          <w:highlight w:val="none"/>
          <w:lang w:val="en-US" w:eastAsia="zh-CN"/>
        </w:rPr>
        <w:t>未</w:t>
      </w:r>
      <w:r>
        <w:rPr>
          <w:rFonts w:eastAsia="仿宋_GB2312"/>
          <w:color w:val="auto"/>
          <w:sz w:val="32"/>
          <w:szCs w:val="32"/>
          <w:highlight w:val="none"/>
        </w:rPr>
        <w:t>被列入《北京市新增产业的禁止和限制目录》禁止类和限制类范围</w:t>
      </w:r>
      <w:r>
        <w:rPr>
          <w:rFonts w:hint="eastAsia" w:eastAsia="仿宋_GB2312"/>
          <w:color w:val="auto"/>
          <w:sz w:val="32"/>
          <w:szCs w:val="32"/>
          <w:highlight w:val="none"/>
          <w:lang w:eastAsia="zh-CN"/>
        </w:rPr>
        <w:t>。</w:t>
      </w:r>
    </w:p>
    <w:p>
      <w:pPr>
        <w:snapToGrid w:val="0"/>
        <w:spacing w:line="560" w:lineRule="exact"/>
        <w:ind w:firstLine="640" w:firstLineChars="200"/>
        <w:outlineLvl w:val="3"/>
        <w:rPr>
          <w:rFonts w:hint="eastAsia"/>
          <w:highlight w:val="none"/>
          <w:lang w:eastAsia="zh-CN"/>
        </w:rPr>
      </w:pPr>
      <w:r>
        <w:rPr>
          <w:rFonts w:eastAsia="仿宋_GB2312"/>
          <w:color w:val="auto"/>
          <w:sz w:val="32"/>
          <w:szCs w:val="32"/>
          <w:highlight w:val="none"/>
        </w:rPr>
        <w:t>（</w:t>
      </w:r>
      <w:r>
        <w:rPr>
          <w:rFonts w:hint="eastAsia" w:eastAsia="仿宋_GB2312"/>
          <w:color w:val="auto"/>
          <w:sz w:val="32"/>
          <w:szCs w:val="32"/>
          <w:highlight w:val="none"/>
          <w:lang w:val="en-US" w:eastAsia="zh-CN"/>
        </w:rPr>
        <w:t>8</w:t>
      </w:r>
      <w:r>
        <w:rPr>
          <w:rFonts w:eastAsia="仿宋_GB2312"/>
          <w:color w:val="auto"/>
          <w:sz w:val="32"/>
          <w:szCs w:val="32"/>
          <w:highlight w:val="none"/>
        </w:rPr>
        <w:t>）</w:t>
      </w:r>
      <w:r>
        <w:rPr>
          <w:rFonts w:hint="eastAsia" w:eastAsia="仿宋_GB2312"/>
          <w:color w:val="auto"/>
          <w:sz w:val="32"/>
          <w:szCs w:val="32"/>
          <w:highlight w:val="none"/>
          <w:lang w:eastAsia="zh-CN"/>
        </w:rPr>
        <w:t>申报当年未以同一项目内容申报并获得中央及市级、区级其他财政资金支持。</w:t>
      </w:r>
    </w:p>
    <w:p>
      <w:pPr>
        <w:pStyle w:val="10"/>
        <w:keepNext w:val="0"/>
        <w:keepLines w:val="0"/>
        <w:pageBreakBefore w:val="0"/>
        <w:kinsoku/>
        <w:wordWrap/>
        <w:overflowPunct/>
        <w:topLinePunct w:val="0"/>
        <w:autoSpaceDE/>
        <w:autoSpaceDN/>
        <w:bidi w:val="0"/>
        <w:adjustRightInd/>
        <w:spacing w:before="0" w:beforeAutospacing="0" w:after="0" w:afterAutospacing="0" w:line="560" w:lineRule="exact"/>
        <w:ind w:firstLine="642" w:firstLineChars="200"/>
        <w:textAlignment w:val="auto"/>
        <w:outlineLvl w:val="2"/>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rPr>
        <w:t>3.申报材料</w:t>
      </w:r>
    </w:p>
    <w:p>
      <w:pPr>
        <w:keepNext w:val="0"/>
        <w:keepLines w:val="0"/>
        <w:pageBreakBefore w:val="0"/>
        <w:kinsoku/>
        <w:wordWrap/>
        <w:overflowPunct/>
        <w:topLinePunct w:val="0"/>
        <w:autoSpaceDE/>
        <w:autoSpaceDN/>
        <w:bidi w:val="0"/>
        <w:adjustRightInd/>
        <w:spacing w:line="560" w:lineRule="exact"/>
        <w:ind w:firstLine="636" w:firstLineChars="198"/>
        <w:textAlignment w:val="auto"/>
        <w:outlineLvl w:val="3"/>
        <w:rPr>
          <w:rFonts w:eastAsia="仿宋_GB2312"/>
          <w:b/>
          <w:sz w:val="32"/>
          <w:szCs w:val="32"/>
        </w:rPr>
      </w:pPr>
      <w:r>
        <w:rPr>
          <w:rFonts w:eastAsia="仿宋_GB2312"/>
          <w:b/>
          <w:sz w:val="32"/>
          <w:szCs w:val="32"/>
        </w:rPr>
        <w:t>（1）企业申报境内线上、线下展会项目相关费用补贴的，需提供以下材料：</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4"/>
        <w:rPr>
          <w:rFonts w:eastAsia="仿宋_GB2312"/>
          <w:sz w:val="32"/>
          <w:szCs w:val="32"/>
        </w:rPr>
      </w:pPr>
      <w:r>
        <w:rPr>
          <w:rFonts w:eastAsia="仿宋_GB2312"/>
          <w:sz w:val="32"/>
          <w:szCs w:val="32"/>
        </w:rPr>
        <w:t>（1）</w:t>
      </w:r>
      <w:r>
        <w:rPr>
          <w:rFonts w:hint="eastAsia" w:eastAsia="仿宋_GB2312"/>
          <w:sz w:val="32"/>
          <w:szCs w:val="32"/>
        </w:rPr>
        <w:t>项目申报书、</w:t>
      </w:r>
      <w:r>
        <w:rPr>
          <w:rFonts w:eastAsia="仿宋_GB2312"/>
          <w:sz w:val="32"/>
          <w:szCs w:val="32"/>
        </w:rPr>
        <w:t>资金申请表</w:t>
      </w:r>
      <w:r>
        <w:rPr>
          <w:rFonts w:hint="eastAsia" w:eastAsia="仿宋_GB2312"/>
          <w:sz w:val="32"/>
          <w:szCs w:val="32"/>
        </w:rPr>
        <w:t>、项目申报单位承诺书、法定代表人授权委托书</w:t>
      </w:r>
      <w:r>
        <w:rPr>
          <w:rFonts w:hint="eastAsia" w:eastAsia="仿宋_GB2312"/>
          <w:sz w:val="32"/>
          <w:szCs w:val="32"/>
          <w:lang w:eastAsia="zh-CN"/>
        </w:rPr>
        <w:t>、展会项目相关材料清单</w:t>
      </w:r>
      <w:r>
        <w:rPr>
          <w:rFonts w:eastAsia="仿宋_GB2312"/>
          <w:sz w:val="32"/>
          <w:szCs w:val="32"/>
        </w:rPr>
        <w:t>（见附件2</w:t>
      </w:r>
      <w:r>
        <w:rPr>
          <w:rFonts w:hint="eastAsia" w:eastAsia="仿宋_GB2312"/>
          <w:sz w:val="32"/>
          <w:szCs w:val="32"/>
        </w:rPr>
        <w:t>、3、4、5</w:t>
      </w:r>
      <w:r>
        <w:rPr>
          <w:rFonts w:hint="eastAsia" w:eastAsia="仿宋_GB2312"/>
          <w:sz w:val="32"/>
          <w:szCs w:val="32"/>
          <w:lang w:eastAsia="zh-CN"/>
        </w:rPr>
        <w:t>、</w:t>
      </w:r>
      <w:r>
        <w:rPr>
          <w:rFonts w:hint="eastAsia" w:eastAsia="仿宋_GB2312"/>
          <w:sz w:val="32"/>
          <w:szCs w:val="32"/>
          <w:lang w:val="en-US" w:eastAsia="zh-CN"/>
        </w:rPr>
        <w:t>6</w:t>
      </w:r>
      <w:r>
        <w:rPr>
          <w:rFonts w:eastAsia="仿宋_GB2312"/>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4"/>
        <w:rPr>
          <w:rFonts w:eastAsia="仿宋_GB2312"/>
          <w:sz w:val="32"/>
          <w:szCs w:val="32"/>
        </w:rPr>
      </w:pPr>
      <w:r>
        <w:rPr>
          <w:rFonts w:eastAsia="仿宋_GB2312"/>
          <w:sz w:val="32"/>
          <w:szCs w:val="32"/>
        </w:rPr>
        <w:t>（2）营业执照复印件；</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4"/>
        <w:rPr>
          <w:rFonts w:eastAsia="仿宋_GB2312"/>
          <w:sz w:val="32"/>
          <w:szCs w:val="32"/>
        </w:rPr>
      </w:pPr>
      <w:r>
        <w:rPr>
          <w:rFonts w:eastAsia="仿宋_GB2312"/>
          <w:sz w:val="32"/>
          <w:szCs w:val="32"/>
        </w:rPr>
        <w:t>（</w:t>
      </w:r>
      <w:r>
        <w:rPr>
          <w:rFonts w:hint="eastAsia" w:eastAsia="仿宋_GB2312"/>
          <w:sz w:val="32"/>
          <w:szCs w:val="32"/>
          <w:lang w:val="en-US" w:eastAsia="zh-CN"/>
        </w:rPr>
        <w:t>3</w:t>
      </w:r>
      <w:r>
        <w:rPr>
          <w:rFonts w:eastAsia="仿宋_GB2312"/>
          <w:sz w:val="32"/>
          <w:szCs w:val="32"/>
        </w:rPr>
        <w:t xml:space="preserve">）法人代表身份证复印件及代理人身份证复印件； </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4"/>
        <w:rPr>
          <w:rFonts w:eastAsia="仿宋_GB2312"/>
          <w:sz w:val="32"/>
          <w:szCs w:val="32"/>
        </w:rPr>
      </w:pPr>
      <w:r>
        <w:rPr>
          <w:rFonts w:eastAsia="仿宋_GB2312"/>
          <w:sz w:val="32"/>
          <w:szCs w:val="32"/>
        </w:rPr>
        <w:t>（</w:t>
      </w:r>
      <w:r>
        <w:rPr>
          <w:rFonts w:hint="eastAsia" w:eastAsia="仿宋_GB2312"/>
          <w:sz w:val="32"/>
          <w:szCs w:val="32"/>
          <w:lang w:val="en-US" w:eastAsia="zh-CN"/>
        </w:rPr>
        <w:t>4</w:t>
      </w:r>
      <w:r>
        <w:rPr>
          <w:rFonts w:eastAsia="仿宋_GB2312"/>
          <w:sz w:val="32"/>
          <w:szCs w:val="32"/>
        </w:rPr>
        <w:t xml:space="preserve">）税务主管部门出具的企业当年度纳税证明复印件； </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4"/>
        <w:rPr>
          <w:rFonts w:eastAsia="仿宋_GB2312"/>
          <w:sz w:val="32"/>
          <w:szCs w:val="32"/>
        </w:rPr>
      </w:pPr>
      <w:r>
        <w:rPr>
          <w:rFonts w:eastAsia="仿宋_GB2312"/>
          <w:sz w:val="32"/>
          <w:szCs w:val="32"/>
        </w:rPr>
        <w:t>（</w:t>
      </w:r>
      <w:r>
        <w:rPr>
          <w:rFonts w:hint="eastAsia" w:eastAsia="仿宋_GB2312"/>
          <w:sz w:val="32"/>
          <w:szCs w:val="32"/>
          <w:lang w:val="en-US" w:eastAsia="zh-CN"/>
        </w:rPr>
        <w:t>5</w:t>
      </w:r>
      <w:r>
        <w:rPr>
          <w:rFonts w:eastAsia="仿宋_GB2312"/>
          <w:sz w:val="32"/>
          <w:szCs w:val="32"/>
        </w:rPr>
        <w:t>）</w:t>
      </w:r>
      <w:bookmarkStart w:id="1" w:name="_Hlk75868993"/>
      <w:r>
        <w:rPr>
          <w:rFonts w:eastAsia="仿宋_GB2312"/>
          <w:sz w:val="32"/>
          <w:szCs w:val="32"/>
        </w:rPr>
        <w:t>与主办方签订的展位合同协议或展位确认函复印件</w:t>
      </w:r>
      <w:bookmarkEnd w:id="1"/>
      <w:r>
        <w:rPr>
          <w:rFonts w:eastAsia="仿宋_GB2312"/>
          <w:sz w:val="32"/>
          <w:szCs w:val="32"/>
        </w:rPr>
        <w:t xml:space="preserve">； </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4"/>
        <w:rPr>
          <w:rFonts w:eastAsia="仿宋_GB2312"/>
          <w:sz w:val="32"/>
          <w:szCs w:val="32"/>
        </w:rPr>
      </w:pPr>
      <w:r>
        <w:rPr>
          <w:rFonts w:eastAsia="仿宋_GB2312"/>
          <w:sz w:val="32"/>
          <w:szCs w:val="32"/>
        </w:rPr>
        <w:t>（</w:t>
      </w:r>
      <w:r>
        <w:rPr>
          <w:rFonts w:hint="eastAsia" w:eastAsia="仿宋_GB2312"/>
          <w:sz w:val="32"/>
          <w:szCs w:val="32"/>
          <w:lang w:val="en-US" w:eastAsia="zh-CN"/>
        </w:rPr>
        <w:t>6</w:t>
      </w:r>
      <w:r>
        <w:rPr>
          <w:rFonts w:eastAsia="仿宋_GB2312"/>
          <w:sz w:val="32"/>
          <w:szCs w:val="32"/>
        </w:rPr>
        <w:t>）参加线下展会产生的展位费、注册费、展位搭建费、大型展品回运费等付款凭证复印件（含发票、记账凭证、银行付款凭证、银行对帐单）</w:t>
      </w:r>
      <w:r>
        <w:rPr>
          <w:rFonts w:hint="eastAsia" w:eastAsia="仿宋_GB2312"/>
          <w:sz w:val="32"/>
          <w:szCs w:val="32"/>
        </w:rPr>
        <w:t>；</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4"/>
        <w:rPr>
          <w:rFonts w:ascii="Times New Roman" w:hAnsi="Times New Roman" w:eastAsia="仿宋_GB2312" w:cs="Times New Roman"/>
          <w:sz w:val="32"/>
          <w:szCs w:val="32"/>
        </w:rPr>
      </w:pPr>
      <w:r>
        <w:rPr>
          <w:rFonts w:eastAsia="仿宋_GB2312"/>
          <w:sz w:val="32"/>
          <w:szCs w:val="32"/>
        </w:rPr>
        <w:t>（</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）参展人员（一人）的机票复印件</w:t>
      </w:r>
      <w:r>
        <w:rPr>
          <w:rFonts w:hint="eastAsia" w:eastAsia="仿宋_GB2312" w:cs="Times New Roman"/>
          <w:sz w:val="32"/>
          <w:szCs w:val="32"/>
          <w:lang w:eastAsia="zh-CN"/>
        </w:rPr>
        <w:t>（或行程单）</w:t>
      </w:r>
      <w:r>
        <w:rPr>
          <w:rFonts w:hint="default" w:ascii="Times New Roman" w:hAnsi="Times New Roman" w:eastAsia="仿宋_GB2312" w:cs="Times New Roman"/>
          <w:sz w:val="32"/>
          <w:szCs w:val="32"/>
        </w:rPr>
        <w:t>、机票付款凭证及参展人员参展期间社会保险个人权益记录（单位职工缴费信息）；企业股东、境内全资母公司或全资子公司人员参展需提供市场监管部门或审计部门盖章的股权证明；   </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4"/>
        <w:rPr>
          <w:rFonts w:ascii="Times New Roman" w:hAnsi="Times New Roman" w:eastAsia="仿宋_GB2312" w:cs="Times New Roman"/>
          <w:sz w:val="32"/>
          <w:szCs w:val="32"/>
        </w:rPr>
      </w:pPr>
      <w:r>
        <w:rPr>
          <w:rFonts w:eastAsia="仿宋_GB2312"/>
          <w:sz w:val="32"/>
          <w:szCs w:val="32"/>
        </w:rPr>
        <w:t>（</w:t>
      </w:r>
      <w:r>
        <w:rPr>
          <w:rFonts w:hint="default" w:ascii="Times New Roman" w:hAnsi="Times New Roman" w:eastAsia="仿宋_GB2312" w:cs="Times New Roman"/>
          <w:sz w:val="32"/>
          <w:szCs w:val="32"/>
          <w:lang w:val="en-US" w:eastAsia="zh-CN"/>
        </w:rPr>
        <w:t>8</w:t>
      </w:r>
      <w:r>
        <w:rPr>
          <w:rFonts w:hint="eastAsia" w:eastAsia="仿宋_GB2312"/>
          <w:sz w:val="32"/>
          <w:szCs w:val="32"/>
        </w:rPr>
        <w:t>）</w:t>
      </w:r>
      <w:r>
        <w:rPr>
          <w:rFonts w:hint="default" w:ascii="Times New Roman" w:hAnsi="Times New Roman" w:eastAsia="仿宋_GB2312" w:cs="Times New Roman"/>
          <w:sz w:val="32"/>
          <w:szCs w:val="32"/>
        </w:rPr>
        <w:t>申请大型展品回运费除提供以上材料外还需提供与运输公司签订的运输合同;</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4"/>
        <w:rPr>
          <w:rFonts w:eastAsia="仿宋_GB2312"/>
          <w:sz w:val="32"/>
          <w:szCs w:val="32"/>
        </w:rPr>
      </w:pPr>
      <w:r>
        <w:rPr>
          <w:rFonts w:eastAsia="仿宋_GB2312"/>
          <w:sz w:val="32"/>
          <w:szCs w:val="32"/>
        </w:rPr>
        <w:t>（</w:t>
      </w:r>
      <w:r>
        <w:rPr>
          <w:rFonts w:hint="eastAsia" w:eastAsia="仿宋_GB2312"/>
          <w:sz w:val="32"/>
          <w:szCs w:val="32"/>
          <w:lang w:val="en-US" w:eastAsia="zh-CN"/>
        </w:rPr>
        <w:t>9</w:t>
      </w:r>
      <w:r>
        <w:rPr>
          <w:rFonts w:eastAsia="仿宋_GB2312"/>
          <w:sz w:val="32"/>
          <w:szCs w:val="32"/>
        </w:rPr>
        <w:t xml:space="preserve">）参加线上展会产生的展位费、注册费等费用付款凭证复印件（含发票、记账凭证、银行付款凭证、银行对帐单）； </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4"/>
        <w:rPr>
          <w:rFonts w:eastAsia="仿宋_GB2312"/>
          <w:sz w:val="32"/>
          <w:szCs w:val="32"/>
        </w:rPr>
      </w:pPr>
      <w:r>
        <w:rPr>
          <w:rFonts w:eastAsia="仿宋_GB2312"/>
          <w:sz w:val="32"/>
          <w:szCs w:val="32"/>
        </w:rPr>
        <w:t>（</w:t>
      </w:r>
      <w:r>
        <w:rPr>
          <w:rFonts w:hint="eastAsia" w:eastAsia="仿宋_GB2312"/>
          <w:sz w:val="32"/>
          <w:szCs w:val="32"/>
        </w:rPr>
        <w:t>1</w:t>
      </w:r>
      <w:r>
        <w:rPr>
          <w:rFonts w:hint="eastAsia" w:eastAsia="仿宋_GB2312"/>
          <w:sz w:val="32"/>
          <w:szCs w:val="32"/>
          <w:lang w:val="en-US" w:eastAsia="zh-CN"/>
        </w:rPr>
        <w:t>0</w:t>
      </w:r>
      <w:r>
        <w:rPr>
          <w:rFonts w:eastAsia="仿宋_GB2312"/>
          <w:sz w:val="32"/>
          <w:szCs w:val="32"/>
        </w:rPr>
        <w:t>）线上或线下展会图片（线</w:t>
      </w:r>
      <w:r>
        <w:rPr>
          <w:rFonts w:hint="eastAsia" w:eastAsia="仿宋_GB2312"/>
          <w:sz w:val="32"/>
          <w:szCs w:val="32"/>
        </w:rPr>
        <w:t>下</w:t>
      </w:r>
      <w:r>
        <w:rPr>
          <w:rFonts w:eastAsia="仿宋_GB2312"/>
          <w:sz w:val="32"/>
          <w:szCs w:val="32"/>
        </w:rPr>
        <w:t>展会提供展位照片彩色复印件，须能体现出整个展位全貌及参展公司名称或企业标识等；线上展会提供相关图片，含展会主页及网址、参展企业主页、展品及推广信息等）</w:t>
      </w:r>
      <w:r>
        <w:rPr>
          <w:rFonts w:hint="eastAsia" w:eastAsia="仿宋_GB2312"/>
          <w:sz w:val="32"/>
          <w:szCs w:val="32"/>
        </w:rPr>
        <w:t>；</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4"/>
        <w:rPr>
          <w:rFonts w:eastAsia="仿宋_GB2312"/>
          <w:sz w:val="32"/>
          <w:szCs w:val="32"/>
        </w:rPr>
      </w:pPr>
      <w:r>
        <w:rPr>
          <w:rFonts w:eastAsia="仿宋_GB2312"/>
          <w:sz w:val="32"/>
          <w:szCs w:val="32"/>
        </w:rPr>
        <w:t>（</w:t>
      </w:r>
      <w:r>
        <w:rPr>
          <w:rFonts w:hint="eastAsia" w:eastAsia="仿宋_GB2312"/>
          <w:sz w:val="32"/>
          <w:szCs w:val="32"/>
        </w:rPr>
        <w:t>1</w:t>
      </w:r>
      <w:r>
        <w:rPr>
          <w:rFonts w:hint="eastAsia" w:eastAsia="仿宋_GB2312"/>
          <w:sz w:val="32"/>
          <w:szCs w:val="32"/>
          <w:lang w:val="en-US" w:eastAsia="zh-CN"/>
        </w:rPr>
        <w:t>1</w:t>
      </w:r>
      <w:r>
        <w:rPr>
          <w:rFonts w:hint="eastAsia" w:eastAsia="仿宋_GB2312"/>
          <w:sz w:val="32"/>
          <w:szCs w:val="32"/>
        </w:rPr>
        <w:t>）在“信用中国”下载的企业信用信息报告证明。</w:t>
      </w:r>
    </w:p>
    <w:p>
      <w:pPr>
        <w:keepNext w:val="0"/>
        <w:keepLines w:val="0"/>
        <w:pageBreakBefore w:val="0"/>
        <w:kinsoku/>
        <w:wordWrap/>
        <w:overflowPunct/>
        <w:topLinePunct w:val="0"/>
        <w:autoSpaceDE/>
        <w:autoSpaceDN/>
        <w:bidi w:val="0"/>
        <w:adjustRightInd/>
        <w:spacing w:line="560" w:lineRule="exact"/>
        <w:ind w:firstLine="636" w:firstLineChars="198"/>
        <w:textAlignment w:val="auto"/>
        <w:outlineLvl w:val="3"/>
        <w:rPr>
          <w:rFonts w:eastAsia="仿宋_GB2312"/>
          <w:b/>
          <w:sz w:val="32"/>
          <w:szCs w:val="32"/>
        </w:rPr>
      </w:pPr>
      <w:bookmarkStart w:id="2" w:name="_Hlk75859347"/>
      <w:r>
        <w:rPr>
          <w:rFonts w:eastAsia="仿宋_GB2312"/>
          <w:b/>
          <w:sz w:val="32"/>
          <w:szCs w:val="32"/>
        </w:rPr>
        <w:t>（2）企业申报境外线上、线下展会项目相关费用补贴的，需提供以下材料：</w:t>
      </w:r>
    </w:p>
    <w:bookmarkEnd w:id="2"/>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4"/>
        <w:rPr>
          <w:rFonts w:eastAsia="仿宋_GB2312"/>
          <w:sz w:val="32"/>
          <w:szCs w:val="32"/>
        </w:rPr>
      </w:pPr>
      <w:r>
        <w:rPr>
          <w:rFonts w:eastAsia="仿宋_GB2312"/>
          <w:sz w:val="32"/>
          <w:szCs w:val="32"/>
        </w:rPr>
        <w:t>（1）</w:t>
      </w:r>
      <w:r>
        <w:rPr>
          <w:rFonts w:hint="eastAsia" w:eastAsia="仿宋_GB2312"/>
          <w:sz w:val="32"/>
          <w:szCs w:val="32"/>
        </w:rPr>
        <w:t>项目申报书、</w:t>
      </w:r>
      <w:r>
        <w:rPr>
          <w:rFonts w:eastAsia="仿宋_GB2312"/>
          <w:sz w:val="32"/>
          <w:szCs w:val="32"/>
        </w:rPr>
        <w:t>资金申请表</w:t>
      </w:r>
      <w:r>
        <w:rPr>
          <w:rFonts w:hint="eastAsia" w:eastAsia="仿宋_GB2312"/>
          <w:sz w:val="32"/>
          <w:szCs w:val="32"/>
        </w:rPr>
        <w:t>、项目申报单位承诺书、法定代表人授权委托书</w:t>
      </w:r>
      <w:r>
        <w:rPr>
          <w:rFonts w:hint="eastAsia" w:eastAsia="仿宋_GB2312"/>
          <w:sz w:val="32"/>
          <w:szCs w:val="32"/>
          <w:lang w:eastAsia="zh-CN"/>
        </w:rPr>
        <w:t>、展会项目相关材料清单</w:t>
      </w:r>
      <w:r>
        <w:rPr>
          <w:rFonts w:eastAsia="仿宋_GB2312"/>
          <w:sz w:val="32"/>
          <w:szCs w:val="32"/>
        </w:rPr>
        <w:t>（见附件2</w:t>
      </w:r>
      <w:r>
        <w:rPr>
          <w:rFonts w:hint="eastAsia" w:eastAsia="仿宋_GB2312"/>
          <w:sz w:val="32"/>
          <w:szCs w:val="32"/>
        </w:rPr>
        <w:t>、3、4、5</w:t>
      </w:r>
      <w:r>
        <w:rPr>
          <w:rFonts w:hint="eastAsia" w:eastAsia="仿宋_GB2312"/>
          <w:sz w:val="32"/>
          <w:szCs w:val="32"/>
          <w:lang w:eastAsia="zh-CN"/>
        </w:rPr>
        <w:t>、</w:t>
      </w:r>
      <w:r>
        <w:rPr>
          <w:rFonts w:hint="eastAsia" w:eastAsia="仿宋_GB2312"/>
          <w:sz w:val="32"/>
          <w:szCs w:val="32"/>
          <w:lang w:val="en-US" w:eastAsia="zh-CN"/>
        </w:rPr>
        <w:t>6</w:t>
      </w:r>
      <w:r>
        <w:rPr>
          <w:rFonts w:eastAsia="仿宋_GB2312"/>
          <w:sz w:val="32"/>
          <w:szCs w:val="32"/>
        </w:rPr>
        <w:t>）；</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4"/>
        <w:rPr>
          <w:rFonts w:eastAsia="仿宋_GB2312"/>
          <w:sz w:val="32"/>
          <w:szCs w:val="32"/>
        </w:rPr>
      </w:pPr>
      <w:r>
        <w:rPr>
          <w:rFonts w:eastAsia="仿宋_GB2312"/>
          <w:sz w:val="32"/>
          <w:szCs w:val="32"/>
        </w:rPr>
        <w:t xml:space="preserve">（2）营业执照复印件； </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4"/>
        <w:rPr>
          <w:rFonts w:eastAsia="仿宋_GB2312"/>
          <w:sz w:val="32"/>
          <w:szCs w:val="32"/>
        </w:rPr>
      </w:pPr>
      <w:r>
        <w:rPr>
          <w:rFonts w:eastAsia="仿宋_GB2312"/>
          <w:sz w:val="32"/>
          <w:szCs w:val="32"/>
        </w:rPr>
        <w:t>（</w:t>
      </w:r>
      <w:r>
        <w:rPr>
          <w:rFonts w:hint="eastAsia" w:eastAsia="仿宋_GB2312"/>
          <w:sz w:val="32"/>
          <w:szCs w:val="32"/>
          <w:lang w:val="en-US" w:eastAsia="zh-CN"/>
        </w:rPr>
        <w:t>3</w:t>
      </w:r>
      <w:r>
        <w:rPr>
          <w:rFonts w:eastAsia="仿宋_GB2312"/>
          <w:sz w:val="32"/>
          <w:szCs w:val="32"/>
        </w:rPr>
        <w:t xml:space="preserve">）法人代表身份证复印件及代理人身份证复印件； </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4"/>
        <w:rPr>
          <w:rFonts w:eastAsia="仿宋_GB2312"/>
          <w:sz w:val="32"/>
          <w:szCs w:val="32"/>
        </w:rPr>
      </w:pPr>
      <w:r>
        <w:rPr>
          <w:rFonts w:eastAsia="仿宋_GB2312"/>
          <w:sz w:val="32"/>
          <w:szCs w:val="32"/>
        </w:rPr>
        <w:t>（</w:t>
      </w:r>
      <w:r>
        <w:rPr>
          <w:rFonts w:hint="eastAsia" w:eastAsia="仿宋_GB2312"/>
          <w:sz w:val="32"/>
          <w:szCs w:val="32"/>
          <w:lang w:val="en-US" w:eastAsia="zh-CN"/>
        </w:rPr>
        <w:t>4</w:t>
      </w:r>
      <w:r>
        <w:rPr>
          <w:rFonts w:eastAsia="仿宋_GB2312"/>
          <w:sz w:val="32"/>
          <w:szCs w:val="32"/>
        </w:rPr>
        <w:t xml:space="preserve">）税务主管部门出具的企业当年度纳税证明复印件； </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4"/>
        <w:rPr>
          <w:rFonts w:eastAsia="仿宋_GB2312"/>
          <w:sz w:val="32"/>
          <w:szCs w:val="32"/>
        </w:rPr>
      </w:pPr>
      <w:r>
        <w:rPr>
          <w:rFonts w:eastAsia="仿宋_GB2312"/>
          <w:sz w:val="32"/>
          <w:szCs w:val="32"/>
        </w:rPr>
        <w:t>（</w:t>
      </w:r>
      <w:r>
        <w:rPr>
          <w:rFonts w:hint="eastAsia" w:eastAsia="仿宋_GB2312"/>
          <w:sz w:val="32"/>
          <w:szCs w:val="32"/>
          <w:lang w:val="en-US" w:eastAsia="zh-CN"/>
        </w:rPr>
        <w:t>5</w:t>
      </w:r>
      <w:r>
        <w:rPr>
          <w:rFonts w:eastAsia="仿宋_GB2312"/>
          <w:sz w:val="32"/>
          <w:szCs w:val="32"/>
        </w:rPr>
        <w:t xml:space="preserve">）与主办方签订的展位合同协议或展位确认函复印件； </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4"/>
        <w:rPr>
          <w:rFonts w:eastAsia="仿宋_GB2312"/>
          <w:sz w:val="32"/>
          <w:szCs w:val="32"/>
        </w:rPr>
      </w:pPr>
      <w:r>
        <w:rPr>
          <w:rFonts w:eastAsia="仿宋_GB2312"/>
          <w:sz w:val="32"/>
          <w:szCs w:val="32"/>
        </w:rPr>
        <w:t>（</w:t>
      </w:r>
      <w:r>
        <w:rPr>
          <w:rFonts w:hint="eastAsia" w:eastAsia="仿宋_GB2312"/>
          <w:sz w:val="32"/>
          <w:szCs w:val="32"/>
          <w:lang w:val="en-US" w:eastAsia="zh-CN"/>
        </w:rPr>
        <w:t>6</w:t>
      </w:r>
      <w:r>
        <w:rPr>
          <w:rFonts w:eastAsia="仿宋_GB2312"/>
          <w:sz w:val="32"/>
          <w:szCs w:val="32"/>
        </w:rPr>
        <w:t>）参加线下</w:t>
      </w:r>
      <w:r>
        <w:rPr>
          <w:rFonts w:hint="eastAsia" w:eastAsia="仿宋_GB2312"/>
          <w:sz w:val="32"/>
          <w:szCs w:val="32"/>
        </w:rPr>
        <w:t>境外</w:t>
      </w:r>
      <w:r>
        <w:rPr>
          <w:rFonts w:eastAsia="仿宋_GB2312"/>
          <w:sz w:val="32"/>
          <w:szCs w:val="32"/>
        </w:rPr>
        <w:t>国际展会产生的</w:t>
      </w:r>
      <w:r>
        <w:rPr>
          <w:rFonts w:hint="eastAsia" w:eastAsia="仿宋_GB2312"/>
          <w:sz w:val="32"/>
          <w:szCs w:val="32"/>
        </w:rPr>
        <w:t>展位费、</w:t>
      </w:r>
      <w:r>
        <w:rPr>
          <w:rFonts w:eastAsia="仿宋_GB2312"/>
          <w:sz w:val="32"/>
          <w:szCs w:val="32"/>
        </w:rPr>
        <w:t>注册费、展位搭建费、大型展品回运费等费用付款凭证复印件（</w:t>
      </w:r>
      <w:bookmarkStart w:id="3" w:name="_Hlk75870205"/>
      <w:r>
        <w:rPr>
          <w:rFonts w:eastAsia="仿宋_GB2312"/>
          <w:sz w:val="32"/>
          <w:szCs w:val="32"/>
        </w:rPr>
        <w:t>含发票、记账凭证、银行付款凭证、银行对帐单</w:t>
      </w:r>
      <w:bookmarkEnd w:id="3"/>
      <w:r>
        <w:rPr>
          <w:rFonts w:eastAsia="仿宋_GB2312"/>
          <w:sz w:val="32"/>
          <w:szCs w:val="32"/>
        </w:rPr>
        <w:t>）。以外汇结算的费用，需提供境外汇款申请书原件（购买外汇的提供外汇买卖水单）</w:t>
      </w:r>
      <w:r>
        <w:rPr>
          <w:rFonts w:hint="eastAsia" w:eastAsia="仿宋_GB2312"/>
          <w:sz w:val="32"/>
          <w:szCs w:val="32"/>
        </w:rPr>
        <w:t>；</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4"/>
        <w:rPr>
          <w:rFonts w:ascii="Times New Roman" w:hAnsi="Times New Roman" w:eastAsia="仿宋_GB2312" w:cs="Times New Roman"/>
          <w:sz w:val="32"/>
          <w:szCs w:val="32"/>
        </w:rPr>
      </w:pPr>
      <w:r>
        <w:rPr>
          <w:rFonts w:eastAsia="仿宋_GB2312"/>
          <w:sz w:val="32"/>
          <w:szCs w:val="32"/>
        </w:rPr>
        <w:t>（</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）参展人员（一人）的机票复印件</w:t>
      </w:r>
      <w:r>
        <w:rPr>
          <w:rFonts w:hint="eastAsia" w:eastAsia="仿宋_GB2312" w:cs="Times New Roman"/>
          <w:sz w:val="32"/>
          <w:szCs w:val="32"/>
          <w:lang w:eastAsia="zh-CN"/>
        </w:rPr>
        <w:t>（或行程单）</w:t>
      </w:r>
      <w:r>
        <w:rPr>
          <w:rFonts w:hint="default" w:ascii="Times New Roman" w:hAnsi="Times New Roman" w:eastAsia="仿宋_GB2312" w:cs="Times New Roman"/>
          <w:sz w:val="32"/>
          <w:szCs w:val="32"/>
        </w:rPr>
        <w:t>、机票付款凭证（或参展人员护照首页，签证页及出入境日期页复印件）及参展人员参展期间社会保险个人权益记录（单位职工缴费信息）；企业股东、境内全资母公司或全资子公司人员参展需提供市场监管部门或审计部门盖章的股权证明； </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4"/>
        <w:rPr>
          <w:rFonts w:ascii="Times New Roman" w:hAnsi="Times New Roman" w:eastAsia="仿宋_GB2312" w:cs="Times New Roman"/>
          <w:sz w:val="32"/>
          <w:szCs w:val="32"/>
        </w:rPr>
      </w:pPr>
      <w:r>
        <w:rPr>
          <w:rFonts w:eastAsia="仿宋_GB2312"/>
          <w:sz w:val="32"/>
          <w:szCs w:val="32"/>
        </w:rPr>
        <w:t>（</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申请大型展品回运费除提供以上材料外还需提供：与运输公司签订的运输合同；中国贸促会出具的货物暂时进出口ATA单证册或海关进出口报关单据；进出境物品申报用装箱清单；以外汇结算的费用，需提供境外汇款申请书复印件（购买外汇的提供外汇买卖水单）；</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4"/>
        <w:rPr>
          <w:rFonts w:eastAsia="仿宋_GB2312"/>
          <w:sz w:val="32"/>
          <w:szCs w:val="32"/>
        </w:rPr>
      </w:pPr>
      <w:r>
        <w:rPr>
          <w:rFonts w:eastAsia="仿宋_GB2312"/>
          <w:sz w:val="32"/>
          <w:szCs w:val="32"/>
        </w:rPr>
        <w:t>（</w:t>
      </w:r>
      <w:r>
        <w:rPr>
          <w:rFonts w:hint="eastAsia" w:eastAsia="仿宋_GB2312"/>
          <w:sz w:val="32"/>
          <w:szCs w:val="32"/>
          <w:lang w:val="en-US" w:eastAsia="zh-CN"/>
        </w:rPr>
        <w:t>9</w:t>
      </w:r>
      <w:r>
        <w:rPr>
          <w:rFonts w:eastAsia="仿宋_GB2312"/>
          <w:sz w:val="32"/>
          <w:szCs w:val="32"/>
        </w:rPr>
        <w:t>）参加线上国际展会产生的</w:t>
      </w:r>
      <w:r>
        <w:rPr>
          <w:rFonts w:hint="eastAsia" w:eastAsia="仿宋_GB2312"/>
          <w:sz w:val="32"/>
          <w:szCs w:val="32"/>
        </w:rPr>
        <w:t>展位</w:t>
      </w:r>
      <w:r>
        <w:rPr>
          <w:rFonts w:eastAsia="仿宋_GB2312"/>
          <w:sz w:val="32"/>
          <w:szCs w:val="32"/>
        </w:rPr>
        <w:t>费、注册费等相关费用付款凭证复印件（含发票、记账凭证、银行付款凭证、银行对帐单）。以外汇结算的费用，需提供境外汇款申请书原件（购买外汇的提供外汇买卖水单）</w:t>
      </w:r>
      <w:r>
        <w:rPr>
          <w:rFonts w:hint="eastAsia" w:eastAsia="仿宋_GB2312"/>
          <w:sz w:val="32"/>
          <w:szCs w:val="32"/>
        </w:rPr>
        <w:t>；</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4"/>
        <w:rPr>
          <w:rFonts w:eastAsia="仿宋_GB2312"/>
          <w:sz w:val="32"/>
          <w:szCs w:val="32"/>
        </w:rPr>
      </w:pPr>
      <w:r>
        <w:rPr>
          <w:rFonts w:eastAsia="仿宋_GB2312"/>
          <w:sz w:val="32"/>
          <w:szCs w:val="32"/>
        </w:rPr>
        <w:t>（</w:t>
      </w:r>
      <w:r>
        <w:rPr>
          <w:rFonts w:hint="eastAsia" w:eastAsia="仿宋_GB2312"/>
          <w:sz w:val="32"/>
          <w:szCs w:val="32"/>
        </w:rPr>
        <w:t>1</w:t>
      </w:r>
      <w:r>
        <w:rPr>
          <w:rFonts w:hint="eastAsia" w:eastAsia="仿宋_GB2312"/>
          <w:sz w:val="32"/>
          <w:szCs w:val="32"/>
          <w:lang w:val="en-US" w:eastAsia="zh-CN"/>
        </w:rPr>
        <w:t>0</w:t>
      </w:r>
      <w:r>
        <w:rPr>
          <w:rFonts w:eastAsia="仿宋_GB2312"/>
          <w:sz w:val="32"/>
          <w:szCs w:val="32"/>
        </w:rPr>
        <w:t>）线上或线下展会图片（线</w:t>
      </w:r>
      <w:r>
        <w:rPr>
          <w:rFonts w:hint="eastAsia" w:eastAsia="仿宋_GB2312"/>
          <w:sz w:val="32"/>
          <w:szCs w:val="32"/>
        </w:rPr>
        <w:t>下</w:t>
      </w:r>
      <w:r>
        <w:rPr>
          <w:rFonts w:eastAsia="仿宋_GB2312"/>
          <w:sz w:val="32"/>
          <w:szCs w:val="32"/>
        </w:rPr>
        <w:t>展会提供展位照片彩色复印件，须能体现出整个展位全貌及参展公司名称或企业标识等；线上展会提供相关图片，含展会主页及网址、参展企业主页、展品及推广信息等）</w:t>
      </w:r>
      <w:r>
        <w:rPr>
          <w:rFonts w:hint="eastAsia" w:eastAsia="仿宋_GB2312"/>
          <w:sz w:val="32"/>
          <w:szCs w:val="32"/>
        </w:rPr>
        <w:t>；</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4"/>
        <w:rPr>
          <w:rFonts w:hint="eastAsia" w:eastAsia="仿宋_GB2312"/>
          <w:sz w:val="32"/>
          <w:szCs w:val="32"/>
          <w:lang w:eastAsia="zh-CN"/>
        </w:rPr>
      </w:pPr>
      <w:r>
        <w:rPr>
          <w:rFonts w:eastAsia="仿宋_GB2312"/>
          <w:sz w:val="32"/>
          <w:szCs w:val="32"/>
        </w:rPr>
        <w:t>（</w:t>
      </w:r>
      <w:r>
        <w:rPr>
          <w:rFonts w:hint="eastAsia" w:eastAsia="仿宋_GB2312"/>
          <w:sz w:val="32"/>
          <w:szCs w:val="32"/>
        </w:rPr>
        <w:t>1</w:t>
      </w:r>
      <w:r>
        <w:rPr>
          <w:rFonts w:hint="eastAsia" w:eastAsia="仿宋_GB2312"/>
          <w:sz w:val="32"/>
          <w:szCs w:val="32"/>
          <w:lang w:val="en-US" w:eastAsia="zh-CN"/>
        </w:rPr>
        <w:t>1</w:t>
      </w:r>
      <w:r>
        <w:rPr>
          <w:rFonts w:hint="eastAsia" w:eastAsia="仿宋_GB2312"/>
          <w:sz w:val="32"/>
          <w:szCs w:val="32"/>
        </w:rPr>
        <w:t>）在“信用中国”下载的企业信用信息报告证明</w:t>
      </w:r>
      <w:r>
        <w:rPr>
          <w:rFonts w:hint="eastAsia" w:eastAsia="仿宋_GB2312"/>
          <w:sz w:val="32"/>
          <w:szCs w:val="32"/>
          <w:lang w:eastAsia="zh-CN"/>
        </w:rPr>
        <w:t>。</w:t>
      </w:r>
    </w:p>
    <w:p>
      <w:pPr>
        <w:keepNext w:val="0"/>
        <w:keepLines w:val="0"/>
        <w:pageBreakBefore w:val="0"/>
        <w:kinsoku/>
        <w:wordWrap/>
        <w:overflowPunct/>
        <w:topLinePunct w:val="0"/>
        <w:autoSpaceDE/>
        <w:autoSpaceDN/>
        <w:bidi w:val="0"/>
        <w:adjustRightInd/>
        <w:spacing w:line="560" w:lineRule="exact"/>
        <w:ind w:firstLine="636" w:firstLineChars="198"/>
        <w:textAlignment w:val="auto"/>
        <w:outlineLvl w:val="3"/>
        <w:rPr>
          <w:rFonts w:eastAsia="仿宋_GB2312"/>
          <w:b/>
          <w:sz w:val="32"/>
          <w:szCs w:val="32"/>
        </w:rPr>
      </w:pPr>
      <w:r>
        <w:rPr>
          <w:rFonts w:eastAsia="仿宋_GB2312"/>
          <w:b/>
          <w:sz w:val="32"/>
          <w:szCs w:val="32"/>
        </w:rPr>
        <w:t>（3）企业申报境外市场考察项目相关费用补贴的，需提供以下材料：</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4"/>
        <w:rPr>
          <w:rFonts w:eastAsia="仿宋_GB2312"/>
          <w:sz w:val="32"/>
          <w:szCs w:val="32"/>
        </w:rPr>
      </w:pPr>
      <w:r>
        <w:rPr>
          <w:rFonts w:eastAsia="仿宋_GB2312"/>
          <w:sz w:val="32"/>
          <w:szCs w:val="32"/>
        </w:rPr>
        <w:t>（1）</w:t>
      </w:r>
      <w:r>
        <w:rPr>
          <w:rFonts w:hint="eastAsia" w:eastAsia="仿宋_GB2312"/>
          <w:sz w:val="32"/>
          <w:szCs w:val="32"/>
        </w:rPr>
        <w:t>项目申报书、</w:t>
      </w:r>
      <w:r>
        <w:rPr>
          <w:rFonts w:eastAsia="仿宋_GB2312"/>
          <w:sz w:val="32"/>
          <w:szCs w:val="32"/>
        </w:rPr>
        <w:t>资金申请表</w:t>
      </w:r>
      <w:r>
        <w:rPr>
          <w:rFonts w:hint="eastAsia" w:eastAsia="仿宋_GB2312"/>
          <w:sz w:val="32"/>
          <w:szCs w:val="32"/>
        </w:rPr>
        <w:t>、项目申报单位承诺书、法定代表人授权委托书</w:t>
      </w:r>
      <w:r>
        <w:rPr>
          <w:rFonts w:eastAsia="仿宋_GB2312"/>
          <w:sz w:val="32"/>
          <w:szCs w:val="32"/>
        </w:rPr>
        <w:t>（见附件2</w:t>
      </w:r>
      <w:r>
        <w:rPr>
          <w:rFonts w:hint="eastAsia" w:eastAsia="仿宋_GB2312"/>
          <w:sz w:val="32"/>
          <w:szCs w:val="32"/>
        </w:rPr>
        <w:t>、3、4、5</w:t>
      </w:r>
      <w:r>
        <w:rPr>
          <w:rFonts w:eastAsia="仿宋_GB2312"/>
          <w:sz w:val="32"/>
          <w:szCs w:val="32"/>
        </w:rPr>
        <w:t>）；</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4"/>
        <w:rPr>
          <w:rFonts w:eastAsia="仿宋_GB2312"/>
          <w:sz w:val="32"/>
          <w:szCs w:val="32"/>
        </w:rPr>
      </w:pPr>
      <w:r>
        <w:rPr>
          <w:rFonts w:eastAsia="仿宋_GB2312"/>
          <w:sz w:val="32"/>
          <w:szCs w:val="32"/>
        </w:rPr>
        <w:t>（2）营业执照复印件；</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4"/>
        <w:rPr>
          <w:rFonts w:eastAsia="仿宋_GB2312"/>
          <w:sz w:val="32"/>
          <w:szCs w:val="32"/>
        </w:rPr>
      </w:pPr>
      <w:r>
        <w:rPr>
          <w:rFonts w:eastAsia="仿宋_GB2312"/>
          <w:sz w:val="32"/>
          <w:szCs w:val="32"/>
        </w:rPr>
        <w:t>（</w:t>
      </w:r>
      <w:r>
        <w:rPr>
          <w:rFonts w:hint="eastAsia" w:eastAsia="仿宋_GB2312"/>
          <w:sz w:val="32"/>
          <w:szCs w:val="32"/>
          <w:lang w:val="en-US" w:eastAsia="zh-CN"/>
        </w:rPr>
        <w:t>3</w:t>
      </w:r>
      <w:r>
        <w:rPr>
          <w:rFonts w:eastAsia="仿宋_GB2312"/>
          <w:sz w:val="32"/>
          <w:szCs w:val="32"/>
        </w:rPr>
        <w:t xml:space="preserve">）法人代表身份证复印件及代理人身份证复印件；  </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4"/>
        <w:rPr>
          <w:rFonts w:eastAsia="仿宋_GB2312"/>
          <w:sz w:val="32"/>
          <w:szCs w:val="32"/>
        </w:rPr>
      </w:pPr>
      <w:r>
        <w:rPr>
          <w:rFonts w:eastAsia="仿宋_GB2312"/>
          <w:sz w:val="32"/>
          <w:szCs w:val="32"/>
        </w:rPr>
        <w:t>（</w:t>
      </w:r>
      <w:r>
        <w:rPr>
          <w:rFonts w:hint="eastAsia" w:eastAsia="仿宋_GB2312"/>
          <w:sz w:val="32"/>
          <w:szCs w:val="32"/>
          <w:lang w:val="en-US" w:eastAsia="zh-CN"/>
        </w:rPr>
        <w:t>4</w:t>
      </w:r>
      <w:r>
        <w:rPr>
          <w:rFonts w:eastAsia="仿宋_GB2312"/>
          <w:sz w:val="32"/>
          <w:szCs w:val="32"/>
        </w:rPr>
        <w:t xml:space="preserve">）税务主管部门出具的企业当年度纳税证明复印件； </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4"/>
        <w:rPr>
          <w:rFonts w:hint="eastAsia" w:ascii="Times New Roman" w:hAnsi="Times New Roman" w:eastAsia="仿宋_GB2312" w:cs="Times New Roman"/>
          <w:sz w:val="32"/>
          <w:szCs w:val="32"/>
          <w:lang w:eastAsia="zh-CN"/>
        </w:rPr>
      </w:pPr>
      <w:r>
        <w:rPr>
          <w:rFonts w:eastAsia="仿宋_GB2312"/>
          <w:sz w:val="32"/>
          <w:szCs w:val="32"/>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）参加境外市场考察人员必须为申报项目单位人员、法人或股东，提供出境考察人员考察期间社会保险个人权益记录（单位职工缴费信息）</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法人提供营业执照</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股东提供股权证明</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若考察人员为港、台、澳人员或外籍人士需提供《台港澳人员就业证》或《中华人民共和国外国人就业许可证》复印件(复印照片页和工作单位页)</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提供出境考察人员护照信息页、签证页及出入境日期页复印件（标明出境及入境）;提供出境考察人员的电子行程单复印件、机票付款凭证</w:t>
      </w:r>
      <w:r>
        <w:rPr>
          <w:rFonts w:hint="eastAsia" w:eastAsia="仿宋_GB2312" w:cs="Times New Roman"/>
          <w:sz w:val="32"/>
          <w:szCs w:val="32"/>
          <w:lang w:eastAsia="zh-CN"/>
        </w:rPr>
        <w:t>。</w:t>
      </w:r>
    </w:p>
    <w:p>
      <w:pPr>
        <w:pStyle w:val="2"/>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ascii="Times New Roman" w:hAnsi="Times New Roman" w:eastAsia="仿宋_GB2312" w:cs="Times New Roman"/>
          <w:color w:val="0000FF"/>
          <w:sz w:val="32"/>
          <w:szCs w:val="32"/>
        </w:rPr>
      </w:pPr>
      <w:r>
        <w:rPr>
          <w:rFonts w:eastAsia="仿宋_GB2312"/>
          <w:sz w:val="32"/>
          <w:szCs w:val="32"/>
        </w:rPr>
        <w:t>（</w:t>
      </w:r>
      <w:r>
        <w:rPr>
          <w:rFonts w:hint="eastAsia" w:ascii="Times New Roman" w:hAnsi="Times New Roman" w:eastAsia="仿宋_GB2312"/>
          <w:sz w:val="32"/>
          <w:szCs w:val="32"/>
          <w:lang w:val="en-US" w:eastAsia="zh-CN"/>
        </w:rPr>
        <w:t>6</w:t>
      </w:r>
      <w:r>
        <w:rPr>
          <w:rFonts w:ascii="Times New Roman" w:hAnsi="Times New Roman" w:eastAsia="仿宋_GB2312"/>
          <w:sz w:val="32"/>
          <w:szCs w:val="32"/>
        </w:rPr>
        <w:t>）</w:t>
      </w:r>
      <w:r>
        <w:rPr>
          <w:rFonts w:hint="default" w:ascii="Times New Roman" w:hAnsi="Times New Roman" w:eastAsia="仿宋_GB2312" w:cs="Times New Roman"/>
          <w:sz w:val="32"/>
          <w:szCs w:val="32"/>
        </w:rPr>
        <w:t>生活补贴按照国家标准不需要提供发票，</w:t>
      </w:r>
      <w:r>
        <w:rPr>
          <w:rFonts w:hint="default" w:ascii="Times New Roman" w:hAnsi="Times New Roman" w:eastAsia="仿宋_GB2312" w:cs="Times New Roman"/>
          <w:color w:val="333333"/>
          <w:sz w:val="32"/>
          <w:szCs w:val="32"/>
          <w:shd w:val="clear" w:color="auto" w:fill="FFFFFF"/>
        </w:rPr>
        <w:t>参照各国家（地区）临时出访补助标准（附件</w:t>
      </w:r>
      <w:r>
        <w:rPr>
          <w:rFonts w:hint="eastAsia" w:ascii="Times New Roman" w:hAnsi="Times New Roman" w:eastAsia="仿宋_GB2312" w:cs="Times New Roman"/>
          <w:color w:val="333333"/>
          <w:sz w:val="32"/>
          <w:szCs w:val="32"/>
          <w:shd w:val="clear" w:color="auto" w:fill="FFFFFF"/>
          <w:lang w:val="en-US" w:eastAsia="zh-CN"/>
        </w:rPr>
        <w:t>7</w:t>
      </w:r>
      <w:r>
        <w:rPr>
          <w:rFonts w:hint="default" w:ascii="Times New Roman" w:hAnsi="Times New Roman" w:eastAsia="仿宋_GB2312" w:cs="Times New Roman"/>
          <w:color w:val="333333"/>
          <w:sz w:val="32"/>
          <w:szCs w:val="32"/>
          <w:shd w:val="clear" w:color="auto" w:fill="FFFFFF"/>
        </w:rPr>
        <w:t>）。</w:t>
      </w:r>
      <w:r>
        <w:rPr>
          <w:rFonts w:hint="default" w:ascii="Times New Roman" w:hAnsi="Times New Roman" w:eastAsia="仿宋_GB2312" w:cs="Times New Roman"/>
          <w:color w:val="auto"/>
          <w:sz w:val="32"/>
          <w:szCs w:val="32"/>
          <w:shd w:val="clear" w:color="auto" w:fill="FFFFFF"/>
        </w:rPr>
        <w:t>生活补贴按照中国人民银行</w:t>
      </w:r>
      <w:r>
        <w:rPr>
          <w:rFonts w:hint="eastAsia" w:ascii="Times New Roman" w:hAnsi="Times New Roman" w:eastAsia="仿宋_GB2312" w:cs="Times New Roman"/>
          <w:color w:val="auto"/>
          <w:sz w:val="32"/>
          <w:szCs w:val="32"/>
          <w:shd w:val="clear" w:color="auto" w:fill="FFFFFF"/>
          <w:lang w:eastAsia="zh-CN"/>
        </w:rPr>
        <w:t>2024</w:t>
      </w:r>
      <w:r>
        <w:rPr>
          <w:rFonts w:hint="default" w:ascii="Times New Roman" w:hAnsi="Times New Roman" w:eastAsia="仿宋_GB2312" w:cs="Times New Roman"/>
          <w:color w:val="auto"/>
          <w:sz w:val="32"/>
          <w:szCs w:val="32"/>
        </w:rPr>
        <w:t>年12月31日人民币汇率中间价折算成人民币;</w:t>
      </w:r>
    </w:p>
    <w:p>
      <w:pPr>
        <w:pStyle w:val="2"/>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ascii="Times New Roman" w:hAnsi="Times New Roman" w:eastAsia="仿宋_GB2312"/>
          <w:sz w:val="32"/>
          <w:szCs w:val="32"/>
        </w:rPr>
      </w:pPr>
      <w:r>
        <w:rPr>
          <w:rFonts w:eastAsia="仿宋_GB2312"/>
          <w:sz w:val="32"/>
          <w:szCs w:val="32"/>
        </w:rPr>
        <w:t>（</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）境外客户邀请函原件及翻译件；</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4"/>
        <w:rPr>
          <w:rFonts w:hint="eastAsia" w:eastAsia="仿宋_GB2312"/>
          <w:sz w:val="32"/>
          <w:szCs w:val="32"/>
          <w:lang w:eastAsia="zh-CN"/>
        </w:rPr>
      </w:pPr>
      <w:r>
        <w:rPr>
          <w:rFonts w:eastAsia="仿宋_GB2312"/>
          <w:sz w:val="32"/>
          <w:szCs w:val="32"/>
        </w:rPr>
        <w:t>（</w:t>
      </w:r>
      <w:r>
        <w:rPr>
          <w:rFonts w:hint="eastAsia" w:eastAsia="仿宋_GB2312"/>
          <w:sz w:val="32"/>
          <w:szCs w:val="32"/>
          <w:lang w:val="en-US" w:eastAsia="zh-CN"/>
        </w:rPr>
        <w:t>8</w:t>
      </w:r>
      <w:r>
        <w:rPr>
          <w:rFonts w:eastAsia="仿宋_GB2312"/>
          <w:sz w:val="32"/>
          <w:szCs w:val="32"/>
        </w:rPr>
        <w:t>）</w:t>
      </w:r>
      <w:r>
        <w:rPr>
          <w:rFonts w:hint="eastAsia" w:eastAsia="仿宋_GB2312"/>
          <w:sz w:val="32"/>
          <w:szCs w:val="32"/>
          <w:lang w:eastAsia="zh-CN"/>
        </w:rPr>
        <w:t>支持金额计算明细；</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4"/>
        <w:rPr>
          <w:rFonts w:eastAsia="仿宋_GB2312"/>
          <w:sz w:val="32"/>
          <w:szCs w:val="32"/>
        </w:rPr>
      </w:pPr>
      <w:r>
        <w:rPr>
          <w:rFonts w:eastAsia="仿宋_GB2312"/>
          <w:sz w:val="32"/>
          <w:szCs w:val="32"/>
        </w:rPr>
        <w:t>（</w:t>
      </w:r>
      <w:r>
        <w:rPr>
          <w:rFonts w:hint="eastAsia" w:eastAsia="仿宋_GB2312"/>
          <w:sz w:val="32"/>
          <w:szCs w:val="32"/>
          <w:lang w:val="en-US" w:eastAsia="zh-CN"/>
        </w:rPr>
        <w:t>9</w:t>
      </w:r>
      <w:r>
        <w:rPr>
          <w:rFonts w:hint="eastAsia" w:eastAsia="仿宋_GB2312"/>
          <w:sz w:val="32"/>
          <w:szCs w:val="32"/>
        </w:rPr>
        <w:t>）</w:t>
      </w:r>
      <w:r>
        <w:rPr>
          <w:rFonts w:eastAsia="仿宋_GB2312"/>
          <w:sz w:val="32"/>
          <w:szCs w:val="32"/>
        </w:rPr>
        <w:t>境外考察报告（</w:t>
      </w:r>
      <w:r>
        <w:rPr>
          <w:rFonts w:hint="eastAsia" w:eastAsia="仿宋_GB2312"/>
          <w:sz w:val="32"/>
          <w:szCs w:val="32"/>
        </w:rPr>
        <w:t>不少于</w:t>
      </w:r>
      <w:r>
        <w:rPr>
          <w:rFonts w:eastAsia="仿宋_GB2312"/>
          <w:sz w:val="32"/>
          <w:szCs w:val="32"/>
        </w:rPr>
        <w:t>1000字）</w:t>
      </w:r>
      <w:r>
        <w:rPr>
          <w:rFonts w:hint="eastAsia" w:eastAsia="仿宋_GB2312"/>
          <w:sz w:val="32"/>
          <w:szCs w:val="32"/>
        </w:rPr>
        <w:t>；</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4"/>
        <w:rPr>
          <w:rFonts w:eastAsia="仿宋_GB2312"/>
          <w:sz w:val="32"/>
          <w:szCs w:val="32"/>
        </w:rPr>
      </w:pPr>
      <w:r>
        <w:rPr>
          <w:rFonts w:eastAsia="仿宋_GB2312"/>
          <w:sz w:val="32"/>
          <w:szCs w:val="32"/>
        </w:rPr>
        <w:t>（</w:t>
      </w:r>
      <w:r>
        <w:rPr>
          <w:rFonts w:hint="eastAsia" w:eastAsia="仿宋_GB2312"/>
          <w:sz w:val="32"/>
          <w:szCs w:val="32"/>
          <w:lang w:val="en-US" w:eastAsia="zh-CN"/>
        </w:rPr>
        <w:t>10</w:t>
      </w:r>
      <w:r>
        <w:rPr>
          <w:rFonts w:hint="eastAsia" w:eastAsia="仿宋_GB2312"/>
          <w:sz w:val="32"/>
          <w:szCs w:val="32"/>
        </w:rPr>
        <w:t>）在“信用中国”下载的企业信用信息报告证明。</w:t>
      </w:r>
    </w:p>
    <w:p>
      <w:pPr>
        <w:pStyle w:val="10"/>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textAlignment w:val="auto"/>
        <w:outlineLvl w:val="1"/>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（二）</w:t>
      </w:r>
      <w:r>
        <w:rPr>
          <w:rFonts w:hint="default" w:ascii="Times New Roman" w:hAnsi="Times New Roman" w:eastAsia="楷体_GB2312" w:cs="Times New Roman"/>
          <w:color w:val="auto"/>
          <w:sz w:val="32"/>
          <w:szCs w:val="32"/>
          <w:lang w:val="en-US"/>
        </w:rPr>
        <w:t>促进企业国际化经营能力提升</w:t>
      </w:r>
      <w:r>
        <w:rPr>
          <w:rFonts w:ascii="Times New Roman" w:hAnsi="Times New Roman" w:eastAsia="楷体_GB2312" w:cs="Times New Roman"/>
          <w:color w:val="auto"/>
          <w:sz w:val="32"/>
          <w:szCs w:val="32"/>
        </w:rPr>
        <w:t>政策申报指南</w:t>
      </w:r>
    </w:p>
    <w:p>
      <w:pPr>
        <w:pStyle w:val="10"/>
        <w:keepNext w:val="0"/>
        <w:keepLines w:val="0"/>
        <w:pageBreakBefore w:val="0"/>
        <w:kinsoku/>
        <w:wordWrap/>
        <w:overflowPunct/>
        <w:topLinePunct w:val="0"/>
        <w:autoSpaceDE/>
        <w:autoSpaceDN/>
        <w:bidi w:val="0"/>
        <w:adjustRightInd/>
        <w:spacing w:before="0" w:beforeAutospacing="0" w:after="0" w:afterAutospacing="0" w:line="560" w:lineRule="exact"/>
        <w:ind w:firstLine="642" w:firstLineChars="200"/>
        <w:textAlignment w:val="auto"/>
        <w:outlineLvl w:val="2"/>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rPr>
        <w:t>1.</w:t>
      </w:r>
      <w:r>
        <w:rPr>
          <w:rFonts w:hint="eastAsia" w:ascii="Times New Roman" w:hAnsi="Times New Roman" w:eastAsia="仿宋_GB2312" w:cs="Times New Roman"/>
          <w:b/>
          <w:color w:val="auto"/>
          <w:sz w:val="32"/>
          <w:szCs w:val="32"/>
        </w:rPr>
        <w:t>政策内容与支持标准</w:t>
      </w:r>
    </w:p>
    <w:p>
      <w:pPr>
        <w:pStyle w:val="10"/>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textAlignment w:val="auto"/>
        <w:rPr>
          <w:rFonts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rPr>
        <w:t>对获得市级支持外贸企业提升国际化经营能力政策资金，且市级支持总额超过20万元的外贸企业，给予5万元一次性奖励</w:t>
      </w:r>
      <w:r>
        <w:rPr>
          <w:rFonts w:ascii="Times New Roman" w:hAnsi="Times New Roman" w:eastAsia="仿宋_GB2312" w:cs="Times New Roman"/>
          <w:bCs/>
          <w:color w:val="auto"/>
          <w:sz w:val="32"/>
          <w:szCs w:val="32"/>
        </w:rPr>
        <w:t>。</w:t>
      </w:r>
    </w:p>
    <w:p>
      <w:pPr>
        <w:pStyle w:val="10"/>
        <w:keepNext w:val="0"/>
        <w:keepLines w:val="0"/>
        <w:pageBreakBefore w:val="0"/>
        <w:kinsoku/>
        <w:wordWrap/>
        <w:overflowPunct/>
        <w:topLinePunct w:val="0"/>
        <w:autoSpaceDE/>
        <w:autoSpaceDN/>
        <w:bidi w:val="0"/>
        <w:adjustRightInd/>
        <w:spacing w:before="0" w:beforeAutospacing="0" w:after="0" w:afterAutospacing="0" w:line="560" w:lineRule="exact"/>
        <w:ind w:firstLine="642" w:firstLineChars="200"/>
        <w:textAlignment w:val="auto"/>
        <w:outlineLvl w:val="2"/>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rPr>
        <w:t>2.申报条件</w:t>
      </w:r>
    </w:p>
    <w:p>
      <w:pPr>
        <w:keepNext w:val="0"/>
        <w:keepLines w:val="0"/>
        <w:pageBreakBefore w:val="0"/>
        <w:kinsoku/>
        <w:wordWrap/>
        <w:overflowPunct/>
        <w:topLinePunct w:val="0"/>
        <w:autoSpaceDE/>
        <w:autoSpaceDN/>
        <w:bidi w:val="0"/>
        <w:adjustRightInd/>
        <w:spacing w:line="560" w:lineRule="exact"/>
        <w:ind w:firstLine="633" w:firstLineChars="198"/>
        <w:textAlignment w:val="auto"/>
        <w:rPr>
          <w:rFonts w:eastAsia="仿宋_GB2312"/>
          <w:sz w:val="32"/>
          <w:szCs w:val="32"/>
        </w:rPr>
      </w:pPr>
      <w:r>
        <w:rPr>
          <w:rFonts w:eastAsia="仿宋_GB2312"/>
          <w:sz w:val="32"/>
          <w:szCs w:val="32"/>
        </w:rPr>
        <w:t>申</w:t>
      </w:r>
      <w:r>
        <w:rPr>
          <w:rFonts w:hint="eastAsia" w:eastAsia="仿宋_GB2312"/>
          <w:sz w:val="32"/>
          <w:szCs w:val="32"/>
        </w:rPr>
        <w:t>报</w:t>
      </w:r>
      <w:r>
        <w:rPr>
          <w:rFonts w:eastAsia="仿宋_GB2312"/>
          <w:sz w:val="32"/>
          <w:szCs w:val="32"/>
        </w:rPr>
        <w:t>该政策企业应同时符合以下条件：</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3"/>
        <w:rPr>
          <w:rFonts w:eastAsia="仿宋_GB2312"/>
          <w:sz w:val="32"/>
          <w:szCs w:val="32"/>
        </w:rPr>
      </w:pPr>
      <w:r>
        <w:rPr>
          <w:rFonts w:eastAsia="仿宋_GB2312"/>
          <w:sz w:val="32"/>
          <w:szCs w:val="32"/>
        </w:rPr>
        <w:t>（1）在平谷区注册并具有独立法人资格的企业，税收解缴关系在平谷区</w:t>
      </w:r>
      <w:r>
        <w:rPr>
          <w:rFonts w:hint="eastAsia" w:eastAsia="仿宋_GB2312"/>
          <w:sz w:val="32"/>
          <w:szCs w:val="32"/>
        </w:rPr>
        <w:t>。</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3"/>
        <w:rPr>
          <w:rFonts w:eastAsia="仿宋_GB2312"/>
          <w:sz w:val="32"/>
          <w:szCs w:val="32"/>
        </w:rPr>
      </w:pPr>
      <w:r>
        <w:rPr>
          <w:rFonts w:eastAsia="仿宋_GB2312"/>
          <w:sz w:val="32"/>
          <w:szCs w:val="32"/>
        </w:rPr>
        <w:t>（</w:t>
      </w:r>
      <w:r>
        <w:rPr>
          <w:rFonts w:hint="eastAsia" w:eastAsia="仿宋_GB2312"/>
          <w:sz w:val="32"/>
          <w:szCs w:val="32"/>
          <w:lang w:val="en-US" w:eastAsia="zh-CN"/>
        </w:rPr>
        <w:t>2</w:t>
      </w:r>
      <w:r>
        <w:rPr>
          <w:rFonts w:eastAsia="仿宋_GB2312"/>
          <w:sz w:val="32"/>
          <w:szCs w:val="32"/>
        </w:rPr>
        <w:t>）</w:t>
      </w:r>
      <w:r>
        <w:rPr>
          <w:rFonts w:hint="eastAsia" w:eastAsia="仿宋_GB2312"/>
          <w:sz w:val="32"/>
          <w:szCs w:val="32"/>
          <w:lang w:val="en-US" w:eastAsia="zh-CN"/>
        </w:rPr>
        <w:t>近三年</w:t>
      </w:r>
      <w:r>
        <w:rPr>
          <w:rFonts w:eastAsia="仿宋_GB2312"/>
          <w:sz w:val="32"/>
          <w:szCs w:val="32"/>
        </w:rPr>
        <w:t>在外经贸业务管理、财务管理、税收管理、外汇管理、海关管理等方面无</w:t>
      </w:r>
      <w:r>
        <w:rPr>
          <w:rFonts w:hint="eastAsia" w:eastAsia="仿宋_GB2312"/>
          <w:sz w:val="32"/>
          <w:szCs w:val="32"/>
        </w:rPr>
        <w:t>严重</w:t>
      </w:r>
      <w:r>
        <w:rPr>
          <w:rFonts w:eastAsia="仿宋_GB2312"/>
          <w:sz w:val="32"/>
          <w:szCs w:val="32"/>
        </w:rPr>
        <w:t>违法行为，无不良信用记录。</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3"/>
        <w:rPr>
          <w:rFonts w:eastAsia="仿宋_GB2312"/>
          <w:sz w:val="32"/>
          <w:szCs w:val="32"/>
        </w:rPr>
      </w:pPr>
      <w:r>
        <w:rPr>
          <w:rFonts w:eastAsia="仿宋_GB2312"/>
          <w:sz w:val="32"/>
          <w:szCs w:val="32"/>
        </w:rPr>
        <w:t>（</w:t>
      </w:r>
      <w:r>
        <w:rPr>
          <w:rFonts w:hint="eastAsia" w:eastAsia="仿宋_GB2312"/>
          <w:sz w:val="32"/>
          <w:szCs w:val="32"/>
          <w:lang w:val="en-US" w:eastAsia="zh-CN"/>
        </w:rPr>
        <w:t>3</w:t>
      </w:r>
      <w:r>
        <w:rPr>
          <w:rFonts w:eastAsia="仿宋_GB2312"/>
          <w:sz w:val="32"/>
          <w:szCs w:val="32"/>
        </w:rPr>
        <w:t>）自觉遵守安全生产、环境保护等各项规定，积极配合区级统计、调查等相关工作。</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3"/>
        <w:rPr>
          <w:rFonts w:eastAsia="仿宋_GB2312"/>
          <w:sz w:val="32"/>
          <w:szCs w:val="32"/>
        </w:rPr>
      </w:pPr>
      <w:r>
        <w:rPr>
          <w:rFonts w:eastAsia="仿宋_GB2312"/>
          <w:sz w:val="32"/>
          <w:szCs w:val="32"/>
        </w:rPr>
        <w:t>（</w:t>
      </w:r>
      <w:r>
        <w:rPr>
          <w:rFonts w:hint="eastAsia" w:eastAsia="仿宋_GB2312"/>
          <w:sz w:val="32"/>
          <w:szCs w:val="32"/>
          <w:lang w:val="en-US" w:eastAsia="zh-CN"/>
        </w:rPr>
        <w:t>4</w:t>
      </w:r>
      <w:r>
        <w:rPr>
          <w:rFonts w:eastAsia="仿宋_GB2312"/>
          <w:sz w:val="32"/>
          <w:szCs w:val="32"/>
        </w:rPr>
        <w:t>）吸纳本区劳动力就业。</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outlineLvl w:val="3"/>
        <w:rPr>
          <w:rFonts w:hint="eastAsia" w:eastAsia="仿宋_GB2312"/>
          <w:color w:val="auto"/>
          <w:sz w:val="32"/>
          <w:szCs w:val="32"/>
          <w:highlight w:val="none"/>
          <w:lang w:eastAsia="zh-CN"/>
        </w:rPr>
      </w:pPr>
      <w:r>
        <w:rPr>
          <w:rFonts w:eastAsia="仿宋_GB2312"/>
          <w:color w:val="auto"/>
          <w:sz w:val="32"/>
          <w:szCs w:val="32"/>
          <w:highlight w:val="none"/>
        </w:rPr>
        <w:t>（</w:t>
      </w:r>
      <w:r>
        <w:rPr>
          <w:rFonts w:hint="eastAsia" w:eastAsia="仿宋_GB2312"/>
          <w:color w:val="auto"/>
          <w:sz w:val="32"/>
          <w:szCs w:val="32"/>
          <w:highlight w:val="none"/>
          <w:lang w:val="en-US" w:eastAsia="zh-CN"/>
        </w:rPr>
        <w:t>5</w:t>
      </w:r>
      <w:r>
        <w:rPr>
          <w:rFonts w:eastAsia="仿宋_GB2312"/>
          <w:color w:val="auto"/>
          <w:sz w:val="32"/>
          <w:szCs w:val="32"/>
          <w:highlight w:val="none"/>
        </w:rPr>
        <w:t>）申报企业</w:t>
      </w:r>
      <w:r>
        <w:rPr>
          <w:rFonts w:hint="eastAsia" w:eastAsia="仿宋_GB2312"/>
          <w:color w:val="auto"/>
          <w:sz w:val="32"/>
          <w:szCs w:val="32"/>
          <w:highlight w:val="none"/>
          <w:lang w:val="en-US" w:eastAsia="zh-CN"/>
        </w:rPr>
        <w:t>未</w:t>
      </w:r>
      <w:r>
        <w:rPr>
          <w:rFonts w:eastAsia="仿宋_GB2312"/>
          <w:color w:val="auto"/>
          <w:sz w:val="32"/>
          <w:szCs w:val="32"/>
          <w:highlight w:val="none"/>
        </w:rPr>
        <w:t>被列入《北京市新增产业的禁止和限制目录》禁止类和限制类范围</w:t>
      </w:r>
      <w:r>
        <w:rPr>
          <w:rFonts w:hint="eastAsia" w:eastAsia="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outlineLvl w:val="3"/>
        <w:rPr>
          <w:rFonts w:hint="eastAsia"/>
          <w:highlight w:val="none"/>
          <w:lang w:eastAsia="zh-CN"/>
        </w:rPr>
      </w:pPr>
      <w:r>
        <w:rPr>
          <w:rFonts w:eastAsia="仿宋_GB2312"/>
          <w:color w:val="auto"/>
          <w:sz w:val="32"/>
          <w:szCs w:val="32"/>
          <w:highlight w:val="none"/>
        </w:rPr>
        <w:t>（</w:t>
      </w:r>
      <w:r>
        <w:rPr>
          <w:rFonts w:hint="eastAsia" w:eastAsia="仿宋_GB2312"/>
          <w:color w:val="auto"/>
          <w:sz w:val="32"/>
          <w:szCs w:val="32"/>
          <w:highlight w:val="none"/>
          <w:lang w:val="en-US" w:eastAsia="zh-CN"/>
        </w:rPr>
        <w:t>6</w:t>
      </w:r>
      <w:r>
        <w:rPr>
          <w:rFonts w:eastAsia="仿宋_GB2312"/>
          <w:color w:val="auto"/>
          <w:sz w:val="32"/>
          <w:szCs w:val="32"/>
          <w:highlight w:val="none"/>
        </w:rPr>
        <w:t>）</w:t>
      </w:r>
      <w:r>
        <w:rPr>
          <w:rFonts w:hint="eastAsia" w:eastAsia="仿宋_GB2312"/>
          <w:color w:val="auto"/>
          <w:sz w:val="32"/>
          <w:szCs w:val="32"/>
          <w:highlight w:val="none"/>
          <w:lang w:eastAsia="zh-CN"/>
        </w:rPr>
        <w:t>申报当年未以同一项目内容申报并获得中央及市级、区级其他财政资金支持。</w:t>
      </w:r>
    </w:p>
    <w:p>
      <w:pPr>
        <w:pStyle w:val="10"/>
        <w:keepNext w:val="0"/>
        <w:keepLines w:val="0"/>
        <w:pageBreakBefore w:val="0"/>
        <w:kinsoku/>
        <w:wordWrap/>
        <w:overflowPunct/>
        <w:topLinePunct w:val="0"/>
        <w:autoSpaceDE/>
        <w:autoSpaceDN/>
        <w:bidi w:val="0"/>
        <w:adjustRightInd/>
        <w:spacing w:before="0" w:beforeAutospacing="0" w:after="0" w:afterAutospacing="0" w:line="560" w:lineRule="exact"/>
        <w:ind w:firstLine="642" w:firstLineChars="200"/>
        <w:textAlignment w:val="auto"/>
        <w:outlineLvl w:val="2"/>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rPr>
        <w:t>3.申报材料</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3"/>
        <w:rPr>
          <w:rFonts w:eastAsia="仿宋_GB2312"/>
          <w:sz w:val="32"/>
          <w:szCs w:val="32"/>
        </w:rPr>
      </w:pPr>
      <w:r>
        <w:rPr>
          <w:rFonts w:eastAsia="仿宋_GB2312"/>
          <w:sz w:val="32"/>
          <w:szCs w:val="32"/>
        </w:rPr>
        <w:t>（1）</w:t>
      </w:r>
      <w:r>
        <w:rPr>
          <w:rFonts w:hint="eastAsia" w:eastAsia="仿宋_GB2312"/>
          <w:sz w:val="32"/>
          <w:szCs w:val="32"/>
        </w:rPr>
        <w:t>项目申报书、</w:t>
      </w:r>
      <w:r>
        <w:rPr>
          <w:rFonts w:eastAsia="仿宋_GB2312"/>
          <w:sz w:val="32"/>
          <w:szCs w:val="32"/>
        </w:rPr>
        <w:t>资金申请表</w:t>
      </w:r>
      <w:r>
        <w:rPr>
          <w:rFonts w:hint="eastAsia" w:eastAsia="仿宋_GB2312"/>
          <w:sz w:val="32"/>
          <w:szCs w:val="32"/>
        </w:rPr>
        <w:t>、项目申报单位承诺书、法定代表人授权委托书</w:t>
      </w:r>
      <w:r>
        <w:rPr>
          <w:rFonts w:eastAsia="仿宋_GB2312"/>
          <w:sz w:val="32"/>
          <w:szCs w:val="32"/>
        </w:rPr>
        <w:t>（见附件2</w:t>
      </w:r>
      <w:r>
        <w:rPr>
          <w:rFonts w:hint="eastAsia" w:eastAsia="仿宋_GB2312"/>
          <w:sz w:val="32"/>
          <w:szCs w:val="32"/>
        </w:rPr>
        <w:t>、3、4、5</w:t>
      </w:r>
      <w:r>
        <w:rPr>
          <w:rFonts w:eastAsia="仿宋_GB2312"/>
          <w:sz w:val="32"/>
          <w:szCs w:val="32"/>
        </w:rPr>
        <w:t>）；</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3"/>
        <w:rPr>
          <w:rFonts w:eastAsia="仿宋_GB2312"/>
          <w:sz w:val="32"/>
          <w:szCs w:val="32"/>
        </w:rPr>
      </w:pPr>
      <w:r>
        <w:rPr>
          <w:rFonts w:eastAsia="仿宋_GB2312"/>
          <w:sz w:val="32"/>
          <w:szCs w:val="32"/>
        </w:rPr>
        <w:t>（2）营业执照复印件；</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3"/>
        <w:rPr>
          <w:rFonts w:eastAsia="仿宋_GB2312"/>
          <w:sz w:val="32"/>
          <w:szCs w:val="32"/>
        </w:rPr>
      </w:pPr>
      <w:r>
        <w:rPr>
          <w:rFonts w:eastAsia="仿宋_GB2312"/>
          <w:sz w:val="32"/>
          <w:szCs w:val="32"/>
        </w:rPr>
        <w:t xml:space="preserve">（3）法人代表身份证复印件及代理人身份证复印件； </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3"/>
        <w:rPr>
          <w:rFonts w:eastAsia="仿宋_GB2312"/>
          <w:sz w:val="32"/>
          <w:szCs w:val="32"/>
        </w:rPr>
      </w:pPr>
      <w:r>
        <w:rPr>
          <w:rFonts w:eastAsia="仿宋_GB2312"/>
          <w:sz w:val="32"/>
          <w:szCs w:val="32"/>
        </w:rPr>
        <w:t>（</w:t>
      </w:r>
      <w:r>
        <w:rPr>
          <w:rFonts w:hint="eastAsia" w:eastAsia="仿宋_GB2312"/>
          <w:sz w:val="32"/>
          <w:szCs w:val="32"/>
          <w:lang w:val="en-US" w:eastAsia="zh-CN"/>
        </w:rPr>
        <w:t>4</w:t>
      </w:r>
      <w:r>
        <w:rPr>
          <w:rFonts w:eastAsia="仿宋_GB2312"/>
          <w:sz w:val="32"/>
          <w:szCs w:val="32"/>
        </w:rPr>
        <w:t>）</w:t>
      </w:r>
      <w:r>
        <w:rPr>
          <w:rFonts w:hint="eastAsia" w:eastAsia="仿宋_GB2312"/>
          <w:sz w:val="32"/>
          <w:szCs w:val="32"/>
        </w:rPr>
        <w:t>获得市级支持外贸企业提升国际化经营能力政策资金</w:t>
      </w:r>
      <w:r>
        <w:rPr>
          <w:rFonts w:hint="eastAsia" w:eastAsia="仿宋_GB2312"/>
          <w:sz w:val="32"/>
          <w:szCs w:val="32"/>
          <w:lang w:val="en-US" w:eastAsia="zh-CN"/>
        </w:rPr>
        <w:t>收</w:t>
      </w:r>
      <w:r>
        <w:rPr>
          <w:rFonts w:hint="eastAsia" w:eastAsia="仿宋_GB2312"/>
          <w:sz w:val="32"/>
          <w:szCs w:val="32"/>
        </w:rPr>
        <w:t>款凭证复印件（含记账凭证、银行</w:t>
      </w:r>
      <w:r>
        <w:rPr>
          <w:rFonts w:hint="eastAsia" w:eastAsia="仿宋_GB2312"/>
          <w:sz w:val="32"/>
          <w:szCs w:val="32"/>
          <w:lang w:val="en-US" w:eastAsia="zh-CN"/>
        </w:rPr>
        <w:t>收</w:t>
      </w:r>
      <w:r>
        <w:rPr>
          <w:rFonts w:hint="eastAsia" w:eastAsia="仿宋_GB2312"/>
          <w:sz w:val="32"/>
          <w:szCs w:val="32"/>
        </w:rPr>
        <w:t>款凭证、银行对帐单）</w:t>
      </w:r>
      <w:r>
        <w:rPr>
          <w:rFonts w:eastAsia="仿宋_GB2312"/>
          <w:sz w:val="32"/>
          <w:szCs w:val="32"/>
        </w:rPr>
        <w:t>；</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3"/>
        <w:rPr>
          <w:rFonts w:hint="eastAsia" w:eastAsia="仿宋_GB2312"/>
          <w:sz w:val="32"/>
          <w:szCs w:val="32"/>
          <w:lang w:eastAsia="zh-CN"/>
        </w:rPr>
      </w:pPr>
      <w:r>
        <w:rPr>
          <w:rFonts w:eastAsia="仿宋_GB2312"/>
          <w:sz w:val="32"/>
          <w:szCs w:val="32"/>
        </w:rPr>
        <w:t>（</w:t>
      </w:r>
      <w:r>
        <w:rPr>
          <w:rFonts w:hint="eastAsia" w:eastAsia="仿宋_GB2312"/>
          <w:sz w:val="32"/>
          <w:szCs w:val="32"/>
          <w:lang w:val="en-US" w:eastAsia="zh-CN"/>
        </w:rPr>
        <w:t>5</w:t>
      </w:r>
      <w:r>
        <w:rPr>
          <w:rFonts w:eastAsia="仿宋_GB2312"/>
          <w:sz w:val="32"/>
          <w:szCs w:val="32"/>
        </w:rPr>
        <w:t>）</w:t>
      </w:r>
      <w:r>
        <w:rPr>
          <w:rFonts w:hint="eastAsia" w:eastAsia="仿宋_GB2312"/>
          <w:sz w:val="32"/>
          <w:szCs w:val="32"/>
        </w:rPr>
        <w:t>外贸发展专项资金（中小）网络管理应用系统当年批复数据截图</w:t>
      </w:r>
      <w:r>
        <w:rPr>
          <w:rFonts w:hint="eastAsia" w:eastAsia="仿宋_GB2312"/>
          <w:sz w:val="32"/>
          <w:szCs w:val="32"/>
          <w:lang w:eastAsia="zh-CN"/>
        </w:rPr>
        <w:t>；</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3"/>
        <w:rPr>
          <w:rFonts w:hint="eastAsia" w:eastAsia="仿宋_GB2312"/>
          <w:sz w:val="32"/>
          <w:szCs w:val="32"/>
          <w:lang w:eastAsia="zh-CN"/>
        </w:rPr>
      </w:pPr>
      <w:r>
        <w:rPr>
          <w:rFonts w:hint="eastAsia" w:eastAsia="仿宋_GB2312"/>
          <w:sz w:val="32"/>
          <w:szCs w:val="32"/>
          <w:lang w:eastAsia="zh-CN"/>
        </w:rPr>
        <w:t>（</w:t>
      </w:r>
      <w:r>
        <w:rPr>
          <w:rFonts w:hint="eastAsia" w:eastAsia="仿宋_GB2312"/>
          <w:sz w:val="32"/>
          <w:szCs w:val="32"/>
          <w:lang w:val="en-US" w:eastAsia="zh-CN"/>
        </w:rPr>
        <w:t>6</w:t>
      </w:r>
      <w:r>
        <w:rPr>
          <w:rFonts w:hint="eastAsia" w:eastAsia="仿宋_GB2312"/>
          <w:sz w:val="32"/>
          <w:szCs w:val="32"/>
          <w:lang w:eastAsia="zh-CN"/>
        </w:rPr>
        <w:t>）</w:t>
      </w:r>
      <w:r>
        <w:rPr>
          <w:rFonts w:eastAsia="仿宋_GB2312"/>
          <w:sz w:val="32"/>
          <w:szCs w:val="32"/>
        </w:rPr>
        <w:t>在“信用中国”下载的企业信用信息报告证明</w:t>
      </w:r>
      <w:r>
        <w:rPr>
          <w:rFonts w:hint="eastAsia" w:eastAsia="仿宋_GB2312"/>
          <w:sz w:val="32"/>
          <w:szCs w:val="32"/>
          <w:lang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outlineLvl w:val="3"/>
        <w:rPr>
          <w:rFonts w:hint="eastAsia" w:eastAsia="仿宋_GB2312"/>
          <w:color w:val="auto"/>
          <w:sz w:val="32"/>
          <w:szCs w:val="32"/>
          <w:highlight w:val="none"/>
          <w:lang w:eastAsia="zh-CN"/>
        </w:rPr>
      </w:pPr>
      <w:r>
        <w:rPr>
          <w:rFonts w:eastAsia="仿宋_GB2312"/>
          <w:color w:val="auto"/>
          <w:sz w:val="32"/>
          <w:szCs w:val="32"/>
          <w:highlight w:val="none"/>
        </w:rPr>
        <w:t>（</w:t>
      </w:r>
      <w:r>
        <w:rPr>
          <w:rFonts w:hint="eastAsia" w:eastAsia="仿宋_GB2312"/>
          <w:color w:val="auto"/>
          <w:sz w:val="32"/>
          <w:szCs w:val="32"/>
          <w:highlight w:val="none"/>
          <w:lang w:val="en-US" w:eastAsia="zh-CN"/>
        </w:rPr>
        <w:t>7</w:t>
      </w:r>
      <w:r>
        <w:rPr>
          <w:rFonts w:eastAsia="仿宋_GB2312"/>
          <w:color w:val="auto"/>
          <w:sz w:val="32"/>
          <w:szCs w:val="32"/>
          <w:highlight w:val="none"/>
        </w:rPr>
        <w:t>）申报企业</w:t>
      </w:r>
      <w:r>
        <w:rPr>
          <w:rFonts w:hint="eastAsia" w:eastAsia="仿宋_GB2312"/>
          <w:color w:val="auto"/>
          <w:sz w:val="32"/>
          <w:szCs w:val="32"/>
          <w:highlight w:val="none"/>
          <w:lang w:val="en-US" w:eastAsia="zh-CN"/>
        </w:rPr>
        <w:t>未</w:t>
      </w:r>
      <w:r>
        <w:rPr>
          <w:rFonts w:eastAsia="仿宋_GB2312"/>
          <w:color w:val="auto"/>
          <w:sz w:val="32"/>
          <w:szCs w:val="32"/>
          <w:highlight w:val="none"/>
        </w:rPr>
        <w:t>被列入《北京市新增产业的禁止和限制目录》禁止类和限制类范围</w:t>
      </w:r>
      <w:r>
        <w:rPr>
          <w:rFonts w:hint="eastAsia" w:eastAsia="仿宋_GB2312"/>
          <w:color w:val="auto"/>
          <w:sz w:val="32"/>
          <w:szCs w:val="32"/>
          <w:highlight w:val="none"/>
          <w:lang w:eastAsia="zh-CN"/>
        </w:rPr>
        <w:t>；</w:t>
      </w:r>
    </w:p>
    <w:p>
      <w:pPr>
        <w:pStyle w:val="10"/>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textAlignment w:val="auto"/>
        <w:outlineLvl w:val="1"/>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val="en-US" w:eastAsia="zh-CN"/>
        </w:rPr>
        <w:t>三</w:t>
      </w:r>
      <w:r>
        <w:rPr>
          <w:rFonts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rPr>
        <w:t>鼓励进出口外贸企业办理人民币外汇衍生品业务</w:t>
      </w:r>
      <w:r>
        <w:rPr>
          <w:rFonts w:ascii="Times New Roman" w:hAnsi="Times New Roman" w:eastAsia="楷体_GB2312" w:cs="Times New Roman"/>
          <w:color w:val="auto"/>
          <w:sz w:val="32"/>
          <w:szCs w:val="32"/>
        </w:rPr>
        <w:t>政策申报指南</w:t>
      </w:r>
    </w:p>
    <w:p>
      <w:pPr>
        <w:pStyle w:val="10"/>
        <w:keepNext w:val="0"/>
        <w:keepLines w:val="0"/>
        <w:pageBreakBefore w:val="0"/>
        <w:kinsoku/>
        <w:wordWrap/>
        <w:overflowPunct/>
        <w:topLinePunct w:val="0"/>
        <w:autoSpaceDE/>
        <w:autoSpaceDN/>
        <w:bidi w:val="0"/>
        <w:adjustRightInd/>
        <w:spacing w:before="0" w:beforeAutospacing="0" w:after="0" w:afterAutospacing="0" w:line="560" w:lineRule="exact"/>
        <w:ind w:firstLine="642" w:firstLineChars="200"/>
        <w:textAlignment w:val="auto"/>
        <w:outlineLvl w:val="2"/>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rPr>
        <w:t>1.</w:t>
      </w:r>
      <w:r>
        <w:rPr>
          <w:rFonts w:hint="default" w:ascii="Times New Roman" w:hAnsi="Times New Roman" w:cs="Times New Roman"/>
          <w:color w:val="auto"/>
        </w:rPr>
        <w:t xml:space="preserve"> </w:t>
      </w:r>
      <w:r>
        <w:rPr>
          <w:rFonts w:hint="eastAsia" w:ascii="Times New Roman" w:hAnsi="Times New Roman" w:eastAsia="仿宋_GB2312" w:cs="Times New Roman"/>
          <w:b/>
          <w:color w:val="auto"/>
          <w:sz w:val="32"/>
          <w:szCs w:val="32"/>
        </w:rPr>
        <w:t>政策内容与支持标准</w:t>
      </w:r>
    </w:p>
    <w:p>
      <w:pPr>
        <w:pStyle w:val="10"/>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textAlignment w:val="auto"/>
        <w:rPr>
          <w:rFonts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rPr>
        <w:t>按照上一年度在银行办理的人民币外汇衍生品履约交易金额名义本金</w:t>
      </w:r>
      <w:r>
        <w:rPr>
          <w:rFonts w:hint="eastAsia" w:ascii="Times New Roman" w:hAnsi="Times New Roman" w:eastAsia="仿宋_GB2312" w:cs="Times New Roman"/>
          <w:bCs/>
          <w:color w:val="auto"/>
          <w:sz w:val="32"/>
          <w:szCs w:val="32"/>
          <w:lang w:eastAsia="zh-CN"/>
        </w:rPr>
        <w:t>（</w:t>
      </w:r>
      <w:r>
        <w:rPr>
          <w:rFonts w:hint="eastAsia" w:ascii="Times New Roman" w:hAnsi="Times New Roman" w:eastAsia="仿宋_GB2312" w:cs="Times New Roman"/>
          <w:bCs/>
          <w:color w:val="auto"/>
          <w:sz w:val="32"/>
          <w:szCs w:val="32"/>
        </w:rPr>
        <w:t>人民币</w:t>
      </w:r>
      <w:r>
        <w:rPr>
          <w:rFonts w:hint="eastAsia" w:ascii="Times New Roman" w:hAnsi="Times New Roman" w:eastAsia="仿宋_GB2312" w:cs="Times New Roman"/>
          <w:bCs/>
          <w:color w:val="auto"/>
          <w:sz w:val="32"/>
          <w:szCs w:val="32"/>
          <w:lang w:eastAsia="zh-CN"/>
        </w:rPr>
        <w:t>）</w:t>
      </w:r>
      <w:r>
        <w:rPr>
          <w:rFonts w:hint="eastAsia" w:ascii="Times New Roman" w:hAnsi="Times New Roman" w:eastAsia="仿宋_GB2312" w:cs="Times New Roman"/>
          <w:bCs/>
          <w:color w:val="auto"/>
          <w:sz w:val="32"/>
          <w:szCs w:val="32"/>
        </w:rPr>
        <w:t>的1‰给予一次性不超过2万元的奖励，具体产品范围包括远期结售汇、人民币外汇期权等</w:t>
      </w:r>
      <w:r>
        <w:rPr>
          <w:rFonts w:ascii="Times New Roman" w:hAnsi="Times New Roman" w:eastAsia="仿宋_GB2312" w:cs="Times New Roman"/>
          <w:bCs/>
          <w:color w:val="auto"/>
          <w:sz w:val="32"/>
          <w:szCs w:val="32"/>
        </w:rPr>
        <w:t>。</w:t>
      </w:r>
    </w:p>
    <w:p>
      <w:pPr>
        <w:pStyle w:val="10"/>
        <w:keepNext w:val="0"/>
        <w:keepLines w:val="0"/>
        <w:pageBreakBefore w:val="0"/>
        <w:kinsoku/>
        <w:wordWrap/>
        <w:overflowPunct/>
        <w:topLinePunct w:val="0"/>
        <w:autoSpaceDE/>
        <w:autoSpaceDN/>
        <w:bidi w:val="0"/>
        <w:adjustRightInd/>
        <w:spacing w:before="0" w:beforeAutospacing="0" w:after="0" w:afterAutospacing="0" w:line="560" w:lineRule="exact"/>
        <w:ind w:firstLine="642" w:firstLineChars="200"/>
        <w:textAlignment w:val="auto"/>
        <w:outlineLvl w:val="2"/>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rPr>
        <w:t>2.申报条件</w:t>
      </w:r>
    </w:p>
    <w:p>
      <w:pPr>
        <w:keepNext w:val="0"/>
        <w:keepLines w:val="0"/>
        <w:pageBreakBefore w:val="0"/>
        <w:kinsoku/>
        <w:wordWrap/>
        <w:overflowPunct/>
        <w:topLinePunct w:val="0"/>
        <w:autoSpaceDE/>
        <w:autoSpaceDN/>
        <w:bidi w:val="0"/>
        <w:adjustRightInd/>
        <w:spacing w:line="560" w:lineRule="exact"/>
        <w:ind w:firstLine="633" w:firstLineChars="198"/>
        <w:textAlignment w:val="auto"/>
        <w:rPr>
          <w:rFonts w:eastAsia="仿宋_GB2312"/>
          <w:sz w:val="32"/>
          <w:szCs w:val="32"/>
        </w:rPr>
      </w:pPr>
      <w:r>
        <w:rPr>
          <w:rFonts w:eastAsia="仿宋_GB2312"/>
          <w:sz w:val="32"/>
          <w:szCs w:val="32"/>
        </w:rPr>
        <w:t>申</w:t>
      </w:r>
      <w:r>
        <w:rPr>
          <w:rFonts w:hint="eastAsia" w:eastAsia="仿宋_GB2312"/>
          <w:sz w:val="32"/>
          <w:szCs w:val="32"/>
        </w:rPr>
        <w:t>报</w:t>
      </w:r>
      <w:r>
        <w:rPr>
          <w:rFonts w:eastAsia="仿宋_GB2312"/>
          <w:sz w:val="32"/>
          <w:szCs w:val="32"/>
        </w:rPr>
        <w:t>该政策企业应同时符合以下条件：</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3"/>
        <w:rPr>
          <w:rFonts w:eastAsia="仿宋_GB2312"/>
          <w:sz w:val="32"/>
          <w:szCs w:val="32"/>
        </w:rPr>
      </w:pPr>
      <w:r>
        <w:rPr>
          <w:rFonts w:eastAsia="仿宋_GB2312"/>
          <w:sz w:val="32"/>
          <w:szCs w:val="32"/>
        </w:rPr>
        <w:t>（1）在平谷区注册并具有独立法人资格的企业，税收解缴关系在平谷区</w:t>
      </w:r>
      <w:r>
        <w:rPr>
          <w:rFonts w:hint="eastAsia" w:eastAsia="仿宋_GB2312"/>
          <w:sz w:val="32"/>
          <w:szCs w:val="32"/>
        </w:rPr>
        <w:t>。</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3"/>
        <w:rPr>
          <w:rFonts w:eastAsia="仿宋_GB2312"/>
          <w:sz w:val="32"/>
          <w:szCs w:val="32"/>
        </w:rPr>
      </w:pPr>
      <w:r>
        <w:rPr>
          <w:rFonts w:eastAsia="仿宋_GB2312"/>
          <w:sz w:val="32"/>
          <w:szCs w:val="32"/>
        </w:rPr>
        <w:t>（</w:t>
      </w:r>
      <w:r>
        <w:rPr>
          <w:rFonts w:hint="eastAsia" w:eastAsia="仿宋_GB2312"/>
          <w:sz w:val="32"/>
          <w:szCs w:val="32"/>
          <w:lang w:val="en-US" w:eastAsia="zh-CN"/>
        </w:rPr>
        <w:t>2</w:t>
      </w:r>
      <w:r>
        <w:rPr>
          <w:rFonts w:eastAsia="仿宋_GB2312"/>
          <w:sz w:val="32"/>
          <w:szCs w:val="32"/>
        </w:rPr>
        <w:t>）</w:t>
      </w:r>
      <w:r>
        <w:rPr>
          <w:rFonts w:hint="eastAsia" w:eastAsia="仿宋_GB2312"/>
          <w:sz w:val="32"/>
          <w:szCs w:val="32"/>
          <w:lang w:val="en-US" w:eastAsia="zh-CN"/>
        </w:rPr>
        <w:t>近三年</w:t>
      </w:r>
      <w:r>
        <w:rPr>
          <w:rFonts w:eastAsia="仿宋_GB2312"/>
          <w:sz w:val="32"/>
          <w:szCs w:val="32"/>
        </w:rPr>
        <w:t>在外经贸业务管理、财务管理、税收管理、外汇管理、海关管理等方面无</w:t>
      </w:r>
      <w:r>
        <w:rPr>
          <w:rFonts w:hint="eastAsia" w:eastAsia="仿宋_GB2312"/>
          <w:sz w:val="32"/>
          <w:szCs w:val="32"/>
        </w:rPr>
        <w:t>严重</w:t>
      </w:r>
      <w:r>
        <w:rPr>
          <w:rFonts w:eastAsia="仿宋_GB2312"/>
          <w:sz w:val="32"/>
          <w:szCs w:val="32"/>
        </w:rPr>
        <w:t>违法行为，无不良信用记录。</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3"/>
        <w:rPr>
          <w:rFonts w:eastAsia="仿宋_GB2312"/>
          <w:sz w:val="32"/>
          <w:szCs w:val="32"/>
        </w:rPr>
      </w:pPr>
      <w:r>
        <w:rPr>
          <w:rFonts w:eastAsia="仿宋_GB2312"/>
          <w:sz w:val="32"/>
          <w:szCs w:val="32"/>
        </w:rPr>
        <w:t>（</w:t>
      </w:r>
      <w:r>
        <w:rPr>
          <w:rFonts w:hint="eastAsia" w:eastAsia="仿宋_GB2312"/>
          <w:sz w:val="32"/>
          <w:szCs w:val="32"/>
          <w:lang w:val="en-US" w:eastAsia="zh-CN"/>
        </w:rPr>
        <w:t>3</w:t>
      </w:r>
      <w:r>
        <w:rPr>
          <w:rFonts w:eastAsia="仿宋_GB2312"/>
          <w:sz w:val="32"/>
          <w:szCs w:val="32"/>
        </w:rPr>
        <w:t>）自觉遵守安全生产、环境保护等各项规定，积极配合区级统计、调查等相关工作。</w:t>
      </w:r>
    </w:p>
    <w:p>
      <w:pPr>
        <w:spacing w:line="560" w:lineRule="exact"/>
        <w:ind w:firstLine="633" w:firstLineChars="198"/>
        <w:outlineLvl w:val="3"/>
        <w:rPr>
          <w:rFonts w:hint="eastAsia" w:eastAsia="仿宋_GB2312"/>
          <w:sz w:val="32"/>
          <w:szCs w:val="32"/>
          <w:lang w:eastAsia="zh-CN"/>
        </w:rPr>
      </w:pPr>
      <w:r>
        <w:rPr>
          <w:rFonts w:eastAsia="仿宋_GB2312"/>
          <w:sz w:val="32"/>
          <w:szCs w:val="32"/>
        </w:rPr>
        <w:t>（</w:t>
      </w:r>
      <w:r>
        <w:rPr>
          <w:rFonts w:hint="eastAsia" w:eastAsia="仿宋_GB2312"/>
          <w:sz w:val="32"/>
          <w:szCs w:val="32"/>
          <w:lang w:val="en-US" w:eastAsia="zh-CN"/>
        </w:rPr>
        <w:t>4</w:t>
      </w:r>
      <w:r>
        <w:rPr>
          <w:rFonts w:eastAsia="仿宋_GB2312"/>
          <w:sz w:val="32"/>
          <w:szCs w:val="32"/>
        </w:rPr>
        <w:t>）吸纳本区劳动力就业</w:t>
      </w:r>
      <w:r>
        <w:rPr>
          <w:rFonts w:hint="eastAsia" w:eastAsia="仿宋_GB2312"/>
          <w:sz w:val="32"/>
          <w:szCs w:val="32"/>
          <w:lang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outlineLvl w:val="3"/>
        <w:rPr>
          <w:rFonts w:hint="eastAsia" w:eastAsia="仿宋_GB2312"/>
          <w:color w:val="auto"/>
          <w:sz w:val="32"/>
          <w:szCs w:val="32"/>
          <w:highlight w:val="none"/>
          <w:lang w:eastAsia="zh-CN"/>
        </w:rPr>
      </w:pPr>
      <w:r>
        <w:rPr>
          <w:rFonts w:eastAsia="仿宋_GB2312"/>
          <w:color w:val="auto"/>
          <w:sz w:val="32"/>
          <w:szCs w:val="32"/>
          <w:highlight w:val="none"/>
        </w:rPr>
        <w:t>（</w:t>
      </w:r>
      <w:r>
        <w:rPr>
          <w:rFonts w:hint="eastAsia" w:eastAsia="仿宋_GB2312"/>
          <w:color w:val="auto"/>
          <w:sz w:val="32"/>
          <w:szCs w:val="32"/>
          <w:highlight w:val="none"/>
          <w:lang w:val="en-US" w:eastAsia="zh-CN"/>
        </w:rPr>
        <w:t>5</w:t>
      </w:r>
      <w:r>
        <w:rPr>
          <w:rFonts w:eastAsia="仿宋_GB2312"/>
          <w:color w:val="auto"/>
          <w:sz w:val="32"/>
          <w:szCs w:val="32"/>
          <w:highlight w:val="none"/>
        </w:rPr>
        <w:t>）申报企业</w:t>
      </w:r>
      <w:r>
        <w:rPr>
          <w:rFonts w:hint="eastAsia" w:eastAsia="仿宋_GB2312"/>
          <w:color w:val="auto"/>
          <w:sz w:val="32"/>
          <w:szCs w:val="32"/>
          <w:highlight w:val="none"/>
          <w:lang w:val="en-US" w:eastAsia="zh-CN"/>
        </w:rPr>
        <w:t>未</w:t>
      </w:r>
      <w:r>
        <w:rPr>
          <w:rFonts w:eastAsia="仿宋_GB2312"/>
          <w:color w:val="auto"/>
          <w:sz w:val="32"/>
          <w:szCs w:val="32"/>
          <w:highlight w:val="none"/>
        </w:rPr>
        <w:t>被列入《北京市新增产业的禁止和限制目录》禁止类和限制类范围</w:t>
      </w:r>
      <w:r>
        <w:rPr>
          <w:rFonts w:hint="eastAsia" w:eastAsia="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outlineLvl w:val="3"/>
        <w:rPr>
          <w:rFonts w:hint="eastAsia"/>
          <w:highlight w:val="none"/>
          <w:lang w:eastAsia="zh-CN"/>
        </w:rPr>
      </w:pPr>
      <w:r>
        <w:rPr>
          <w:rFonts w:eastAsia="仿宋_GB2312"/>
          <w:color w:val="auto"/>
          <w:sz w:val="32"/>
          <w:szCs w:val="32"/>
          <w:highlight w:val="none"/>
        </w:rPr>
        <w:t>（</w:t>
      </w:r>
      <w:r>
        <w:rPr>
          <w:rFonts w:hint="eastAsia" w:eastAsia="仿宋_GB2312"/>
          <w:color w:val="auto"/>
          <w:sz w:val="32"/>
          <w:szCs w:val="32"/>
          <w:highlight w:val="none"/>
          <w:lang w:val="en-US" w:eastAsia="zh-CN"/>
        </w:rPr>
        <w:t>6</w:t>
      </w:r>
      <w:r>
        <w:rPr>
          <w:rFonts w:eastAsia="仿宋_GB2312"/>
          <w:color w:val="auto"/>
          <w:sz w:val="32"/>
          <w:szCs w:val="32"/>
          <w:highlight w:val="none"/>
        </w:rPr>
        <w:t>）</w:t>
      </w:r>
      <w:r>
        <w:rPr>
          <w:rFonts w:hint="eastAsia" w:eastAsia="仿宋_GB2312"/>
          <w:color w:val="auto"/>
          <w:sz w:val="32"/>
          <w:szCs w:val="32"/>
          <w:highlight w:val="none"/>
          <w:lang w:eastAsia="zh-CN"/>
        </w:rPr>
        <w:t>申报当年未以同一项目内容申报并获得中央及市级、区级其他财政资金支持。</w:t>
      </w:r>
    </w:p>
    <w:p>
      <w:pPr>
        <w:pStyle w:val="10"/>
        <w:keepNext w:val="0"/>
        <w:keepLines w:val="0"/>
        <w:pageBreakBefore w:val="0"/>
        <w:kinsoku/>
        <w:wordWrap/>
        <w:overflowPunct/>
        <w:topLinePunct w:val="0"/>
        <w:autoSpaceDE/>
        <w:autoSpaceDN/>
        <w:bidi w:val="0"/>
        <w:adjustRightInd/>
        <w:spacing w:before="0" w:beforeAutospacing="0" w:after="0" w:afterAutospacing="0" w:line="560" w:lineRule="exact"/>
        <w:ind w:firstLine="642" w:firstLineChars="200"/>
        <w:textAlignment w:val="auto"/>
        <w:outlineLvl w:val="2"/>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rPr>
        <w:t>3.申报材料</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3"/>
        <w:rPr>
          <w:rFonts w:eastAsia="仿宋_GB2312"/>
          <w:sz w:val="32"/>
          <w:szCs w:val="32"/>
        </w:rPr>
      </w:pPr>
      <w:r>
        <w:rPr>
          <w:rFonts w:eastAsia="仿宋_GB2312"/>
          <w:sz w:val="32"/>
          <w:szCs w:val="32"/>
        </w:rPr>
        <w:t>（1）</w:t>
      </w:r>
      <w:r>
        <w:rPr>
          <w:rFonts w:hint="eastAsia" w:eastAsia="仿宋_GB2312"/>
          <w:sz w:val="32"/>
          <w:szCs w:val="32"/>
        </w:rPr>
        <w:t>项目申报书、</w:t>
      </w:r>
      <w:r>
        <w:rPr>
          <w:rFonts w:eastAsia="仿宋_GB2312"/>
          <w:sz w:val="32"/>
          <w:szCs w:val="32"/>
        </w:rPr>
        <w:t>资金申请表</w:t>
      </w:r>
      <w:r>
        <w:rPr>
          <w:rFonts w:hint="eastAsia" w:eastAsia="仿宋_GB2312"/>
          <w:sz w:val="32"/>
          <w:szCs w:val="32"/>
        </w:rPr>
        <w:t>、项目申报单位承诺书、法定代表人授权委托书</w:t>
      </w:r>
      <w:r>
        <w:rPr>
          <w:rFonts w:eastAsia="仿宋_GB2312"/>
          <w:sz w:val="32"/>
          <w:szCs w:val="32"/>
        </w:rPr>
        <w:t>（见附件2</w:t>
      </w:r>
      <w:r>
        <w:rPr>
          <w:rFonts w:hint="eastAsia" w:eastAsia="仿宋_GB2312"/>
          <w:sz w:val="32"/>
          <w:szCs w:val="32"/>
        </w:rPr>
        <w:t>、3、4、5</w:t>
      </w:r>
      <w:r>
        <w:rPr>
          <w:rFonts w:eastAsia="仿宋_GB2312"/>
          <w:sz w:val="32"/>
          <w:szCs w:val="32"/>
        </w:rPr>
        <w:t>）；</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3"/>
        <w:rPr>
          <w:rFonts w:eastAsia="仿宋_GB2312"/>
          <w:sz w:val="32"/>
          <w:szCs w:val="32"/>
        </w:rPr>
      </w:pPr>
      <w:r>
        <w:rPr>
          <w:rFonts w:eastAsia="仿宋_GB2312"/>
          <w:sz w:val="32"/>
          <w:szCs w:val="32"/>
        </w:rPr>
        <w:t>（2）营业执照复印件；</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3"/>
        <w:rPr>
          <w:rFonts w:eastAsia="仿宋_GB2312"/>
          <w:sz w:val="32"/>
          <w:szCs w:val="32"/>
        </w:rPr>
      </w:pPr>
      <w:r>
        <w:rPr>
          <w:rFonts w:eastAsia="仿宋_GB2312"/>
          <w:sz w:val="32"/>
          <w:szCs w:val="32"/>
        </w:rPr>
        <w:t xml:space="preserve">（3）法人代表身份证复印件及代理人身份证复印件； </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3"/>
      </w:pPr>
      <w:r>
        <w:rPr>
          <w:rFonts w:hint="eastAsia" w:eastAsia="仿宋_GB2312"/>
          <w:sz w:val="32"/>
          <w:szCs w:val="32"/>
        </w:rPr>
        <w:t>（4）银行出具的企业</w:t>
      </w:r>
      <w:r>
        <w:rPr>
          <w:rFonts w:hint="eastAsia" w:eastAsia="仿宋_GB2312"/>
          <w:sz w:val="32"/>
          <w:szCs w:val="32"/>
          <w:lang w:val="en-US" w:eastAsia="zh-CN"/>
        </w:rPr>
        <w:t>人民币</w:t>
      </w:r>
      <w:r>
        <w:rPr>
          <w:rFonts w:hint="eastAsia" w:eastAsia="仿宋_GB2312"/>
          <w:sz w:val="32"/>
          <w:szCs w:val="32"/>
        </w:rPr>
        <w:t>外汇衍生品业务履约金额佐证；</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3"/>
        <w:rPr>
          <w:rFonts w:eastAsia="仿宋_GB2312"/>
          <w:sz w:val="32"/>
          <w:szCs w:val="32"/>
        </w:rPr>
      </w:pPr>
      <w:r>
        <w:rPr>
          <w:rFonts w:eastAsia="仿宋_GB2312"/>
          <w:sz w:val="32"/>
          <w:szCs w:val="32"/>
        </w:rPr>
        <w:t>（</w:t>
      </w:r>
      <w:r>
        <w:rPr>
          <w:rFonts w:hint="eastAsia" w:eastAsia="仿宋_GB2312"/>
          <w:sz w:val="32"/>
          <w:szCs w:val="32"/>
        </w:rPr>
        <w:t>5</w:t>
      </w:r>
      <w:r>
        <w:rPr>
          <w:rFonts w:eastAsia="仿宋_GB2312"/>
          <w:sz w:val="32"/>
          <w:szCs w:val="32"/>
        </w:rPr>
        <w:t>）税务主管部门出具的企业当年度纳税证明复印件；</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3"/>
        <w:rPr>
          <w:rFonts w:eastAsia="仿宋_GB2312"/>
          <w:sz w:val="32"/>
          <w:szCs w:val="32"/>
        </w:rPr>
      </w:pPr>
      <w:r>
        <w:rPr>
          <w:rFonts w:eastAsia="仿宋_GB2312"/>
          <w:sz w:val="32"/>
          <w:szCs w:val="32"/>
        </w:rPr>
        <w:t>（</w:t>
      </w:r>
      <w:r>
        <w:rPr>
          <w:rFonts w:hint="eastAsia" w:eastAsia="仿宋_GB2312"/>
          <w:sz w:val="32"/>
          <w:szCs w:val="32"/>
        </w:rPr>
        <w:t>6</w:t>
      </w:r>
      <w:r>
        <w:rPr>
          <w:rFonts w:eastAsia="仿宋_GB2312"/>
          <w:sz w:val="32"/>
          <w:szCs w:val="32"/>
        </w:rPr>
        <w:t>）当年度审计报告或财务报表；</w:t>
      </w:r>
    </w:p>
    <w:p>
      <w:pPr>
        <w:pStyle w:val="2"/>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w:t>
      </w:r>
      <w:r>
        <w:rPr>
          <w:rFonts w:hint="default" w:ascii="Times New Roman" w:hAnsi="Times New Roman" w:eastAsia="仿宋_GB2312"/>
          <w:sz w:val="32"/>
          <w:szCs w:val="32"/>
        </w:rPr>
        <w:t>7</w:t>
      </w:r>
      <w:r>
        <w:rPr>
          <w:rFonts w:ascii="Times New Roman" w:hAnsi="Times New Roman" w:eastAsia="仿宋_GB2312"/>
          <w:sz w:val="32"/>
          <w:szCs w:val="32"/>
        </w:rPr>
        <w:t>）在“信用中国”下载的企业信用信息报告证明。</w:t>
      </w:r>
    </w:p>
    <w:p>
      <w:pPr>
        <w:pStyle w:val="10"/>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textAlignment w:val="auto"/>
        <w:outlineLvl w:val="1"/>
        <w:rPr>
          <w:rFonts w:ascii="Times New Roman" w:hAnsi="Times New Roman" w:eastAsia="黑体" w:cs="Times New Roman"/>
          <w:bCs/>
          <w:color w:val="auto"/>
          <w:sz w:val="32"/>
          <w:szCs w:val="32"/>
        </w:rPr>
      </w:pPr>
      <w:r>
        <w:rPr>
          <w:rFonts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val="en-US" w:eastAsia="zh-CN"/>
        </w:rPr>
        <w:t>四</w:t>
      </w:r>
      <w:r>
        <w:rPr>
          <w:rFonts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rPr>
        <w:t>支持我区特色农产品（包括使用平谷区农产品的深加工产品）出口</w:t>
      </w:r>
      <w:r>
        <w:rPr>
          <w:rFonts w:ascii="Times New Roman" w:hAnsi="Times New Roman" w:eastAsia="楷体_GB2312" w:cs="Times New Roman"/>
          <w:color w:val="auto"/>
          <w:sz w:val="32"/>
          <w:szCs w:val="32"/>
        </w:rPr>
        <w:t>政策申报指南</w:t>
      </w:r>
    </w:p>
    <w:p>
      <w:pPr>
        <w:pStyle w:val="10"/>
        <w:keepNext w:val="0"/>
        <w:keepLines w:val="0"/>
        <w:pageBreakBefore w:val="0"/>
        <w:kinsoku/>
        <w:wordWrap/>
        <w:overflowPunct/>
        <w:topLinePunct w:val="0"/>
        <w:autoSpaceDE/>
        <w:autoSpaceDN/>
        <w:bidi w:val="0"/>
        <w:adjustRightInd/>
        <w:spacing w:before="0" w:beforeAutospacing="0" w:after="0" w:afterAutospacing="0" w:line="560" w:lineRule="exact"/>
        <w:ind w:firstLine="642" w:firstLineChars="200"/>
        <w:textAlignment w:val="auto"/>
        <w:outlineLvl w:val="2"/>
        <w:rPr>
          <w:rFonts w:ascii="Times New Roman" w:hAnsi="Times New Roman" w:eastAsia="楷体_GB2312" w:cs="Times New Roman"/>
          <w:b/>
          <w:color w:val="auto"/>
          <w:sz w:val="32"/>
          <w:szCs w:val="32"/>
        </w:rPr>
      </w:pPr>
      <w:r>
        <w:rPr>
          <w:rFonts w:ascii="Times New Roman" w:hAnsi="Times New Roman" w:eastAsia="仿宋_GB2312" w:cs="Times New Roman"/>
          <w:b/>
          <w:color w:val="auto"/>
          <w:sz w:val="32"/>
          <w:szCs w:val="32"/>
        </w:rPr>
        <w:t>1.</w:t>
      </w:r>
      <w:r>
        <w:rPr>
          <w:rFonts w:hint="default" w:ascii="Times New Roman" w:hAnsi="Times New Roman" w:cs="Times New Roman"/>
          <w:color w:val="auto"/>
        </w:rPr>
        <w:t xml:space="preserve"> </w:t>
      </w:r>
      <w:r>
        <w:rPr>
          <w:rFonts w:hint="eastAsia" w:ascii="Times New Roman" w:hAnsi="Times New Roman" w:eastAsia="仿宋_GB2312" w:cs="Times New Roman"/>
          <w:b/>
          <w:color w:val="auto"/>
          <w:sz w:val="32"/>
          <w:szCs w:val="32"/>
        </w:rPr>
        <w:t>政策内容与支持标准</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3"/>
        <w:rPr>
          <w:rFonts w:eastAsia="仿宋_GB2312"/>
          <w:bCs/>
          <w:kern w:val="0"/>
          <w:sz w:val="32"/>
          <w:szCs w:val="32"/>
          <w:lang w:bidi="zh-CN"/>
        </w:rPr>
      </w:pPr>
      <w:r>
        <w:rPr>
          <w:rFonts w:eastAsia="仿宋_GB2312"/>
          <w:bCs/>
          <w:kern w:val="0"/>
          <w:sz w:val="32"/>
          <w:szCs w:val="32"/>
          <w:lang w:bidi="zh-CN"/>
        </w:rPr>
        <w:t>降低企业农产品出口运输成本。对当年企业出口大桃等本地特色农产品产生的出口运输费用（包括出口海运费和出口空运费），按照当年发生费用的不超过10%比例给予补贴。单一企业出口一种品类农产品支持资金最高不超过3万元。（</w:t>
      </w:r>
      <w:r>
        <w:rPr>
          <w:rFonts w:hint="eastAsia" w:eastAsia="仿宋_GB2312"/>
          <w:bCs/>
          <w:kern w:val="0"/>
          <w:sz w:val="32"/>
          <w:szCs w:val="32"/>
          <w:lang w:bidi="zh-CN"/>
        </w:rPr>
        <w:t>企业为合作社及生产企业，不包括中介机构</w:t>
      </w:r>
      <w:r>
        <w:rPr>
          <w:rFonts w:eastAsia="仿宋_GB2312"/>
          <w:bCs/>
          <w:kern w:val="0"/>
          <w:sz w:val="32"/>
          <w:szCs w:val="32"/>
          <w:lang w:bidi="zh-CN"/>
        </w:rPr>
        <w:t>）</w:t>
      </w:r>
    </w:p>
    <w:p>
      <w:pPr>
        <w:pStyle w:val="10"/>
        <w:keepNext w:val="0"/>
        <w:keepLines w:val="0"/>
        <w:pageBreakBefore w:val="0"/>
        <w:kinsoku/>
        <w:wordWrap/>
        <w:overflowPunct/>
        <w:topLinePunct w:val="0"/>
        <w:autoSpaceDE/>
        <w:autoSpaceDN/>
        <w:bidi w:val="0"/>
        <w:adjustRightInd/>
        <w:spacing w:before="0" w:beforeAutospacing="0" w:after="0" w:afterAutospacing="0" w:line="560" w:lineRule="exact"/>
        <w:ind w:firstLine="642" w:firstLineChars="200"/>
        <w:textAlignment w:val="auto"/>
        <w:outlineLvl w:val="2"/>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rPr>
        <w:t>2.申报条件</w:t>
      </w:r>
    </w:p>
    <w:p>
      <w:pPr>
        <w:keepNext w:val="0"/>
        <w:keepLines w:val="0"/>
        <w:pageBreakBefore w:val="0"/>
        <w:kinsoku/>
        <w:wordWrap/>
        <w:overflowPunct/>
        <w:topLinePunct w:val="0"/>
        <w:autoSpaceDE/>
        <w:autoSpaceDN/>
        <w:bidi w:val="0"/>
        <w:adjustRightInd/>
        <w:spacing w:line="560" w:lineRule="exact"/>
        <w:ind w:firstLine="633" w:firstLineChars="198"/>
        <w:textAlignment w:val="auto"/>
        <w:rPr>
          <w:rFonts w:eastAsia="仿宋_GB2312"/>
          <w:sz w:val="32"/>
          <w:szCs w:val="32"/>
        </w:rPr>
      </w:pPr>
      <w:r>
        <w:rPr>
          <w:rFonts w:eastAsia="仿宋_GB2312"/>
          <w:sz w:val="32"/>
          <w:szCs w:val="32"/>
        </w:rPr>
        <w:t>申</w:t>
      </w:r>
      <w:r>
        <w:rPr>
          <w:rFonts w:hint="eastAsia" w:eastAsia="仿宋_GB2312"/>
          <w:sz w:val="32"/>
          <w:szCs w:val="32"/>
        </w:rPr>
        <w:t>报</w:t>
      </w:r>
      <w:r>
        <w:rPr>
          <w:rFonts w:eastAsia="仿宋_GB2312"/>
          <w:sz w:val="32"/>
          <w:szCs w:val="32"/>
        </w:rPr>
        <w:t>该政策企业应同时符合以下条件：</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3"/>
        <w:rPr>
          <w:rFonts w:eastAsia="仿宋_GB2312"/>
          <w:sz w:val="32"/>
          <w:szCs w:val="32"/>
        </w:rPr>
      </w:pPr>
      <w:r>
        <w:rPr>
          <w:rFonts w:eastAsia="仿宋_GB2312"/>
          <w:sz w:val="32"/>
          <w:szCs w:val="32"/>
        </w:rPr>
        <w:t>（1）在平谷区注册并具有独立法人资格的企业，税收解缴关系在平谷区</w:t>
      </w:r>
      <w:r>
        <w:rPr>
          <w:rFonts w:hint="eastAsia" w:eastAsia="仿宋_GB2312"/>
          <w:sz w:val="32"/>
          <w:szCs w:val="32"/>
          <w:lang w:eastAsia="zh-CN"/>
        </w:rPr>
        <w:t>。</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3"/>
        <w:rPr>
          <w:rFonts w:eastAsia="仿宋_GB2312"/>
          <w:sz w:val="32"/>
          <w:szCs w:val="32"/>
        </w:rPr>
      </w:pPr>
      <w:r>
        <w:rPr>
          <w:rFonts w:eastAsia="仿宋_GB2312"/>
          <w:sz w:val="32"/>
          <w:szCs w:val="32"/>
        </w:rPr>
        <w:t>（2）依法取得进出口经营资格的企业法人</w:t>
      </w:r>
      <w:r>
        <w:rPr>
          <w:rFonts w:hint="eastAsia" w:eastAsia="仿宋_GB2312"/>
          <w:sz w:val="32"/>
          <w:szCs w:val="32"/>
          <w:lang w:eastAsia="zh-CN"/>
        </w:rPr>
        <w:t>。</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3"/>
        <w:rPr>
          <w:rFonts w:eastAsia="仿宋_GB2312"/>
          <w:sz w:val="32"/>
          <w:szCs w:val="32"/>
        </w:rPr>
      </w:pPr>
      <w:r>
        <w:rPr>
          <w:rFonts w:eastAsia="仿宋_GB2312"/>
          <w:sz w:val="32"/>
          <w:szCs w:val="32"/>
        </w:rPr>
        <w:t>（3）</w:t>
      </w:r>
      <w:r>
        <w:rPr>
          <w:rFonts w:hint="eastAsia" w:eastAsia="仿宋_GB2312"/>
          <w:sz w:val="32"/>
          <w:szCs w:val="32"/>
        </w:rPr>
        <w:t>办理</w:t>
      </w:r>
      <w:r>
        <w:rPr>
          <w:rFonts w:eastAsia="仿宋_GB2312"/>
          <w:sz w:val="32"/>
          <w:szCs w:val="32"/>
        </w:rPr>
        <w:t>《出口食品生产企业备案证明》</w:t>
      </w:r>
      <w:r>
        <w:rPr>
          <w:rFonts w:hint="eastAsia" w:eastAsia="仿宋_GB2312"/>
          <w:sz w:val="32"/>
          <w:szCs w:val="32"/>
          <w:lang w:eastAsia="zh-CN"/>
        </w:rPr>
        <w:t>。</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3"/>
        <w:rPr>
          <w:rFonts w:hint="eastAsia" w:eastAsia="仿宋_GB2312"/>
          <w:sz w:val="32"/>
          <w:szCs w:val="32"/>
          <w:lang w:eastAsia="zh-CN"/>
        </w:rPr>
      </w:pPr>
      <w:r>
        <w:rPr>
          <w:rFonts w:eastAsia="仿宋_GB2312"/>
          <w:sz w:val="32"/>
          <w:szCs w:val="32"/>
        </w:rPr>
        <w:t>（4）吸纳本区劳动力就业</w:t>
      </w:r>
      <w:r>
        <w:rPr>
          <w:rFonts w:hint="eastAsia" w:eastAsia="仿宋_GB2312"/>
          <w:sz w:val="32"/>
          <w:szCs w:val="32"/>
          <w:lang w:eastAsia="zh-CN"/>
        </w:rPr>
        <w:t>。</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3"/>
        <w:rPr>
          <w:rFonts w:eastAsia="仿宋_GB2312"/>
          <w:sz w:val="32"/>
          <w:szCs w:val="32"/>
        </w:rPr>
      </w:pPr>
      <w:r>
        <w:rPr>
          <w:rFonts w:eastAsia="仿宋_GB2312"/>
          <w:sz w:val="32"/>
          <w:szCs w:val="32"/>
        </w:rPr>
        <w:t>（5）近</w:t>
      </w:r>
      <w:r>
        <w:rPr>
          <w:rFonts w:hint="eastAsia" w:eastAsia="仿宋_GB2312"/>
          <w:sz w:val="32"/>
          <w:szCs w:val="32"/>
          <w:lang w:val="en-US" w:eastAsia="zh-CN"/>
        </w:rPr>
        <w:t>三</w:t>
      </w:r>
      <w:r>
        <w:rPr>
          <w:rFonts w:eastAsia="仿宋_GB2312"/>
          <w:sz w:val="32"/>
          <w:szCs w:val="32"/>
        </w:rPr>
        <w:t>年在外经贸业务管理、财务管理、税收管理、外汇管理、海关管理等方面无</w:t>
      </w:r>
      <w:r>
        <w:rPr>
          <w:rFonts w:hint="eastAsia" w:eastAsia="仿宋_GB2312"/>
          <w:sz w:val="32"/>
          <w:szCs w:val="32"/>
        </w:rPr>
        <w:t>严重</w:t>
      </w:r>
      <w:r>
        <w:rPr>
          <w:rFonts w:eastAsia="仿宋_GB2312"/>
          <w:sz w:val="32"/>
          <w:szCs w:val="32"/>
        </w:rPr>
        <w:t>违法行为，无不良信用记录</w:t>
      </w:r>
      <w:r>
        <w:rPr>
          <w:rFonts w:hint="eastAsia" w:eastAsia="仿宋_GB2312"/>
          <w:sz w:val="32"/>
          <w:szCs w:val="32"/>
          <w:lang w:eastAsia="zh-CN"/>
        </w:rPr>
        <w:t>。</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3"/>
        <w:rPr>
          <w:rFonts w:eastAsia="仿宋_GB2312"/>
          <w:sz w:val="32"/>
          <w:szCs w:val="32"/>
        </w:rPr>
      </w:pPr>
      <w:r>
        <w:rPr>
          <w:rFonts w:eastAsia="仿宋_GB2312"/>
          <w:sz w:val="32"/>
          <w:szCs w:val="32"/>
        </w:rPr>
        <w:t>（6）自觉遵守安全生产、环境保护等各项规定，积极配合区级统计、调查等相关工作。</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outlineLvl w:val="3"/>
        <w:rPr>
          <w:rFonts w:hint="eastAsia" w:eastAsia="仿宋_GB2312"/>
          <w:color w:val="auto"/>
          <w:sz w:val="32"/>
          <w:szCs w:val="32"/>
          <w:highlight w:val="none"/>
          <w:lang w:eastAsia="zh-CN"/>
        </w:rPr>
      </w:pPr>
      <w:r>
        <w:rPr>
          <w:rFonts w:eastAsia="仿宋_GB2312"/>
          <w:color w:val="auto"/>
          <w:sz w:val="32"/>
          <w:szCs w:val="32"/>
          <w:highlight w:val="none"/>
        </w:rPr>
        <w:t>（</w:t>
      </w:r>
      <w:r>
        <w:rPr>
          <w:rFonts w:hint="eastAsia" w:eastAsia="仿宋_GB2312"/>
          <w:color w:val="auto"/>
          <w:sz w:val="32"/>
          <w:szCs w:val="32"/>
          <w:highlight w:val="none"/>
          <w:lang w:val="en-US" w:eastAsia="zh-CN"/>
        </w:rPr>
        <w:t>7</w:t>
      </w:r>
      <w:r>
        <w:rPr>
          <w:rFonts w:eastAsia="仿宋_GB2312"/>
          <w:color w:val="auto"/>
          <w:sz w:val="32"/>
          <w:szCs w:val="32"/>
          <w:highlight w:val="none"/>
        </w:rPr>
        <w:t>）申报企业</w:t>
      </w:r>
      <w:r>
        <w:rPr>
          <w:rFonts w:hint="eastAsia" w:eastAsia="仿宋_GB2312"/>
          <w:color w:val="auto"/>
          <w:sz w:val="32"/>
          <w:szCs w:val="32"/>
          <w:highlight w:val="none"/>
          <w:lang w:val="en-US" w:eastAsia="zh-CN"/>
        </w:rPr>
        <w:t>未</w:t>
      </w:r>
      <w:r>
        <w:rPr>
          <w:rFonts w:eastAsia="仿宋_GB2312"/>
          <w:color w:val="auto"/>
          <w:sz w:val="32"/>
          <w:szCs w:val="32"/>
          <w:highlight w:val="none"/>
        </w:rPr>
        <w:t>被列入《北京市新增产业的禁止和限制目录》禁止类和限制类范围</w:t>
      </w:r>
      <w:r>
        <w:rPr>
          <w:rFonts w:hint="eastAsia" w:eastAsia="仿宋_GB2312"/>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outlineLvl w:val="3"/>
        <w:rPr>
          <w:rFonts w:hint="eastAsia"/>
          <w:highlight w:val="none"/>
          <w:lang w:eastAsia="zh-CN"/>
        </w:rPr>
      </w:pPr>
      <w:r>
        <w:rPr>
          <w:rFonts w:eastAsia="仿宋_GB2312"/>
          <w:color w:val="auto"/>
          <w:sz w:val="32"/>
          <w:szCs w:val="32"/>
          <w:highlight w:val="none"/>
        </w:rPr>
        <w:t>（</w:t>
      </w:r>
      <w:r>
        <w:rPr>
          <w:rFonts w:hint="eastAsia" w:eastAsia="仿宋_GB2312"/>
          <w:color w:val="auto"/>
          <w:sz w:val="32"/>
          <w:szCs w:val="32"/>
          <w:highlight w:val="none"/>
          <w:lang w:val="en-US" w:eastAsia="zh-CN"/>
        </w:rPr>
        <w:t>8</w:t>
      </w:r>
      <w:r>
        <w:rPr>
          <w:rFonts w:eastAsia="仿宋_GB2312"/>
          <w:color w:val="auto"/>
          <w:sz w:val="32"/>
          <w:szCs w:val="32"/>
          <w:highlight w:val="none"/>
        </w:rPr>
        <w:t>）</w:t>
      </w:r>
      <w:r>
        <w:rPr>
          <w:rFonts w:hint="eastAsia" w:eastAsia="仿宋_GB2312"/>
          <w:color w:val="auto"/>
          <w:sz w:val="32"/>
          <w:szCs w:val="32"/>
          <w:highlight w:val="none"/>
          <w:lang w:eastAsia="zh-CN"/>
        </w:rPr>
        <w:t>申报当年未以同一项目内容申报并获得中央及市级、区级其他财政资金支持。</w:t>
      </w:r>
    </w:p>
    <w:p>
      <w:pPr>
        <w:pStyle w:val="10"/>
        <w:keepNext w:val="0"/>
        <w:keepLines w:val="0"/>
        <w:pageBreakBefore w:val="0"/>
        <w:kinsoku/>
        <w:wordWrap/>
        <w:overflowPunct/>
        <w:topLinePunct w:val="0"/>
        <w:autoSpaceDE/>
        <w:autoSpaceDN/>
        <w:bidi w:val="0"/>
        <w:adjustRightInd/>
        <w:spacing w:before="0" w:beforeAutospacing="0" w:after="0" w:afterAutospacing="0" w:line="560" w:lineRule="exact"/>
        <w:ind w:firstLine="642" w:firstLineChars="200"/>
        <w:textAlignment w:val="auto"/>
        <w:outlineLvl w:val="2"/>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rPr>
        <w:t>3.申报材料</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eastAsia="仿宋_GB2312"/>
          <w:sz w:val="32"/>
        </w:rPr>
      </w:pPr>
      <w:r>
        <w:rPr>
          <w:rFonts w:hint="eastAsia" w:eastAsia="仿宋_GB2312"/>
          <w:sz w:val="32"/>
          <w:szCs w:val="32"/>
          <w:lang w:eastAsia="zh-CN"/>
        </w:rPr>
        <w:t>（</w:t>
      </w:r>
      <w:r>
        <w:rPr>
          <w:rFonts w:hint="eastAsia" w:eastAsia="仿宋_GB2312"/>
          <w:sz w:val="32"/>
          <w:szCs w:val="32"/>
          <w:lang w:val="en-US" w:eastAsia="zh-CN"/>
        </w:rPr>
        <w:t>1</w:t>
      </w:r>
      <w:r>
        <w:rPr>
          <w:rFonts w:hint="eastAsia" w:eastAsia="仿宋_GB2312"/>
          <w:sz w:val="32"/>
          <w:szCs w:val="32"/>
          <w:lang w:eastAsia="zh-CN"/>
        </w:rPr>
        <w:t>）</w:t>
      </w:r>
      <w:r>
        <w:rPr>
          <w:rFonts w:hint="eastAsia" w:eastAsia="仿宋_GB2312"/>
          <w:sz w:val="32"/>
          <w:szCs w:val="32"/>
        </w:rPr>
        <w:t>项目申报书、</w:t>
      </w:r>
      <w:r>
        <w:rPr>
          <w:rFonts w:eastAsia="仿宋_GB2312"/>
          <w:sz w:val="32"/>
          <w:szCs w:val="32"/>
        </w:rPr>
        <w:t>资金申请表</w:t>
      </w:r>
      <w:r>
        <w:rPr>
          <w:rFonts w:hint="eastAsia" w:eastAsia="仿宋_GB2312"/>
          <w:sz w:val="32"/>
          <w:szCs w:val="32"/>
        </w:rPr>
        <w:t>、项目申报单位承诺书、法定代表人授权委托书</w:t>
      </w:r>
      <w:r>
        <w:rPr>
          <w:rFonts w:eastAsia="仿宋_GB2312"/>
          <w:sz w:val="32"/>
          <w:szCs w:val="32"/>
        </w:rPr>
        <w:t>（见附件2</w:t>
      </w:r>
      <w:r>
        <w:rPr>
          <w:rFonts w:hint="eastAsia" w:eastAsia="仿宋_GB2312"/>
          <w:sz w:val="32"/>
          <w:szCs w:val="32"/>
        </w:rPr>
        <w:t>、3、4、5</w:t>
      </w:r>
      <w:r>
        <w:rPr>
          <w:rFonts w:eastAsia="仿宋_GB2312"/>
          <w:sz w:val="32"/>
          <w:szCs w:val="32"/>
        </w:rPr>
        <w:t>）</w:t>
      </w:r>
      <w:r>
        <w:rPr>
          <w:rFonts w:eastAsia="仿宋_GB2312"/>
          <w:sz w:val="32"/>
        </w:rPr>
        <w:t>；</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4"/>
        <w:rPr>
          <w:rFonts w:eastAsia="仿宋_GB2312"/>
          <w:sz w:val="32"/>
          <w:szCs w:val="32"/>
        </w:rPr>
      </w:pPr>
      <w:r>
        <w:rPr>
          <w:rFonts w:hint="eastAsia" w:eastAsia="仿宋_GB2312"/>
          <w:sz w:val="32"/>
          <w:szCs w:val="32"/>
          <w:lang w:eastAsia="zh-CN"/>
        </w:rPr>
        <w:t>（</w:t>
      </w:r>
      <w:r>
        <w:rPr>
          <w:rFonts w:hint="eastAsia" w:eastAsia="仿宋_GB2312"/>
          <w:sz w:val="32"/>
          <w:szCs w:val="32"/>
          <w:lang w:val="en-US" w:eastAsia="zh-CN"/>
        </w:rPr>
        <w:t>2</w:t>
      </w:r>
      <w:r>
        <w:rPr>
          <w:rFonts w:hint="eastAsia" w:eastAsia="仿宋_GB2312"/>
          <w:sz w:val="32"/>
          <w:szCs w:val="32"/>
          <w:lang w:eastAsia="zh-CN"/>
        </w:rPr>
        <w:t>）</w:t>
      </w:r>
      <w:r>
        <w:rPr>
          <w:rFonts w:eastAsia="仿宋_GB2312"/>
          <w:sz w:val="32"/>
          <w:szCs w:val="32"/>
        </w:rPr>
        <w:t>营业执照复印件</w:t>
      </w:r>
      <w:r>
        <w:rPr>
          <w:rFonts w:hint="eastAsia" w:eastAsia="仿宋_GB2312"/>
          <w:sz w:val="32"/>
          <w:szCs w:val="32"/>
          <w:lang w:eastAsia="zh-CN"/>
        </w:rPr>
        <w:t>、</w:t>
      </w:r>
      <w:r>
        <w:rPr>
          <w:rFonts w:eastAsia="仿宋_GB2312"/>
          <w:sz w:val="32"/>
          <w:szCs w:val="32"/>
        </w:rPr>
        <w:t>出口食品生产企业备案证明复印件；</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4"/>
        <w:rPr>
          <w:rFonts w:eastAsia="仿宋_GB2312"/>
          <w:sz w:val="32"/>
          <w:szCs w:val="32"/>
        </w:rPr>
      </w:pPr>
      <w:r>
        <w:rPr>
          <w:rFonts w:hint="eastAsia" w:eastAsia="仿宋_GB2312"/>
          <w:sz w:val="32"/>
          <w:szCs w:val="32"/>
          <w:lang w:eastAsia="zh-CN"/>
        </w:rPr>
        <w:t>（</w:t>
      </w:r>
      <w:r>
        <w:rPr>
          <w:rFonts w:hint="eastAsia" w:eastAsia="仿宋_GB2312"/>
          <w:sz w:val="32"/>
          <w:szCs w:val="32"/>
          <w:lang w:val="en-US" w:eastAsia="zh-CN"/>
        </w:rPr>
        <w:t>3</w:t>
      </w:r>
      <w:r>
        <w:rPr>
          <w:rFonts w:hint="eastAsia" w:eastAsia="仿宋_GB2312"/>
          <w:sz w:val="32"/>
          <w:szCs w:val="32"/>
          <w:lang w:eastAsia="zh-CN"/>
        </w:rPr>
        <w:t>）</w:t>
      </w:r>
      <w:r>
        <w:rPr>
          <w:rFonts w:eastAsia="仿宋_GB2312"/>
          <w:sz w:val="32"/>
          <w:szCs w:val="32"/>
        </w:rPr>
        <w:t xml:space="preserve">法人代表身份证复印件及代理人身份证复印件； </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4"/>
        <w:rPr>
          <w:rFonts w:eastAsia="仿宋_GB2312"/>
          <w:sz w:val="32"/>
          <w:szCs w:val="32"/>
        </w:rPr>
      </w:pPr>
      <w:r>
        <w:rPr>
          <w:rFonts w:hint="eastAsia" w:eastAsia="仿宋_GB2312"/>
          <w:sz w:val="32"/>
          <w:szCs w:val="32"/>
          <w:lang w:eastAsia="zh-CN"/>
        </w:rPr>
        <w:t>（</w:t>
      </w:r>
      <w:r>
        <w:rPr>
          <w:rFonts w:hint="eastAsia" w:eastAsia="仿宋_GB2312"/>
          <w:sz w:val="32"/>
          <w:szCs w:val="32"/>
          <w:lang w:val="en-US" w:eastAsia="zh-CN"/>
        </w:rPr>
        <w:t>4</w:t>
      </w:r>
      <w:r>
        <w:rPr>
          <w:rFonts w:hint="eastAsia" w:eastAsia="仿宋_GB2312"/>
          <w:sz w:val="32"/>
          <w:szCs w:val="32"/>
          <w:lang w:eastAsia="zh-CN"/>
        </w:rPr>
        <w:t>）</w:t>
      </w:r>
      <w:r>
        <w:rPr>
          <w:rFonts w:eastAsia="仿宋_GB2312"/>
          <w:sz w:val="32"/>
          <w:szCs w:val="32"/>
        </w:rPr>
        <w:t>税务主管部门出具的企业当年度纳税证明复印件；</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4"/>
        <w:rPr>
          <w:rFonts w:eastAsia="仿宋_GB2312"/>
          <w:sz w:val="32"/>
          <w:szCs w:val="32"/>
        </w:rPr>
      </w:pPr>
      <w:r>
        <w:rPr>
          <w:rFonts w:hint="eastAsia" w:eastAsia="仿宋_GB2312"/>
          <w:sz w:val="32"/>
          <w:szCs w:val="32"/>
          <w:lang w:eastAsia="zh-CN"/>
        </w:rPr>
        <w:t>（</w:t>
      </w:r>
      <w:r>
        <w:rPr>
          <w:rFonts w:hint="eastAsia" w:eastAsia="仿宋_GB2312"/>
          <w:sz w:val="32"/>
          <w:szCs w:val="32"/>
          <w:lang w:val="en-US" w:eastAsia="zh-CN"/>
        </w:rPr>
        <w:t>5</w:t>
      </w:r>
      <w:r>
        <w:rPr>
          <w:rFonts w:hint="eastAsia" w:eastAsia="仿宋_GB2312"/>
          <w:sz w:val="32"/>
          <w:szCs w:val="32"/>
          <w:lang w:eastAsia="zh-CN"/>
        </w:rPr>
        <w:t>）</w:t>
      </w:r>
      <w:r>
        <w:rPr>
          <w:rFonts w:eastAsia="仿宋_GB2312"/>
          <w:sz w:val="32"/>
          <w:szCs w:val="32"/>
        </w:rPr>
        <w:t>出口退税证明；</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4"/>
        <w:rPr>
          <w:rFonts w:eastAsia="仿宋_GB2312"/>
          <w:sz w:val="32"/>
          <w:szCs w:val="32"/>
        </w:rPr>
      </w:pPr>
      <w:r>
        <w:rPr>
          <w:rFonts w:hint="default" w:eastAsia="仿宋_GB2312"/>
          <w:sz w:val="32"/>
          <w:szCs w:val="32"/>
          <w:lang w:eastAsia="zh-CN"/>
        </w:rPr>
        <w:t>（</w:t>
      </w:r>
      <w:r>
        <w:rPr>
          <w:rFonts w:hint="default" w:eastAsia="仿宋_GB2312"/>
          <w:sz w:val="32"/>
          <w:szCs w:val="32"/>
          <w:lang w:val="en-US" w:eastAsia="zh-CN"/>
        </w:rPr>
        <w:t>6</w:t>
      </w:r>
      <w:r>
        <w:rPr>
          <w:rFonts w:hint="default" w:eastAsia="仿宋_GB2312"/>
          <w:sz w:val="32"/>
          <w:szCs w:val="32"/>
          <w:lang w:eastAsia="zh-CN"/>
        </w:rPr>
        <w:t>）</w:t>
      </w:r>
      <w:r>
        <w:rPr>
          <w:rFonts w:eastAsia="仿宋_GB2312"/>
          <w:sz w:val="32"/>
          <w:szCs w:val="32"/>
        </w:rPr>
        <w:t>出口农产品</w:t>
      </w:r>
      <w:r>
        <w:rPr>
          <w:rFonts w:hint="default" w:ascii="Times New Roman" w:hAnsi="Times New Roman" w:eastAsia="仿宋_GB2312" w:cs="Times New Roman"/>
          <w:color w:val="auto"/>
          <w:sz w:val="32"/>
          <w:szCs w:val="32"/>
        </w:rPr>
        <w:t>（包括使用平谷区农产品的深加工产品）</w:t>
      </w:r>
      <w:r>
        <w:rPr>
          <w:rFonts w:eastAsia="仿宋_GB2312"/>
          <w:sz w:val="32"/>
          <w:szCs w:val="32"/>
        </w:rPr>
        <w:t>空运、海运等运输费用支出的合法凭证复印件、银行转账凭证</w:t>
      </w:r>
      <w:r>
        <w:rPr>
          <w:rFonts w:hint="eastAsia" w:eastAsia="仿宋_GB2312"/>
          <w:sz w:val="32"/>
          <w:szCs w:val="32"/>
        </w:rPr>
        <w:t>复印件</w:t>
      </w:r>
      <w:r>
        <w:rPr>
          <w:rFonts w:eastAsia="仿宋_GB2312"/>
          <w:sz w:val="32"/>
          <w:szCs w:val="32"/>
        </w:rPr>
        <w:t>；</w:t>
      </w:r>
    </w:p>
    <w:p>
      <w:pPr>
        <w:spacing w:line="560" w:lineRule="exact"/>
        <w:ind w:firstLine="633" w:firstLineChars="198"/>
        <w:outlineLvl w:val="4"/>
        <w:rPr>
          <w:rFonts w:hint="eastAsia" w:eastAsia="仿宋_GB2312"/>
          <w:sz w:val="32"/>
          <w:szCs w:val="32"/>
          <w:lang w:eastAsia="zh-CN"/>
        </w:rPr>
      </w:pPr>
      <w:r>
        <w:rPr>
          <w:rFonts w:hint="default" w:eastAsia="仿宋_GB2312"/>
          <w:sz w:val="32"/>
          <w:szCs w:val="32"/>
          <w:lang w:eastAsia="zh-CN"/>
        </w:rPr>
        <w:t>（</w:t>
      </w:r>
      <w:r>
        <w:rPr>
          <w:rFonts w:hint="default" w:eastAsia="仿宋_GB2312"/>
          <w:sz w:val="32"/>
          <w:szCs w:val="32"/>
          <w:lang w:val="en-US" w:eastAsia="zh-CN"/>
        </w:rPr>
        <w:t>7</w:t>
      </w:r>
      <w:r>
        <w:rPr>
          <w:rFonts w:hint="default" w:eastAsia="仿宋_GB2312"/>
          <w:sz w:val="32"/>
          <w:szCs w:val="32"/>
          <w:lang w:eastAsia="zh-CN"/>
        </w:rPr>
        <w:t>）证明出口农产品产地为平谷</w:t>
      </w:r>
      <w:r>
        <w:rPr>
          <w:rFonts w:hint="eastAsia" w:eastAsia="仿宋_GB2312"/>
          <w:sz w:val="32"/>
          <w:szCs w:val="32"/>
          <w:lang w:eastAsia="zh-CN"/>
        </w:rPr>
        <w:t>区</w:t>
      </w:r>
      <w:r>
        <w:rPr>
          <w:rFonts w:hint="default" w:eastAsia="仿宋_GB2312"/>
          <w:sz w:val="32"/>
          <w:szCs w:val="32"/>
          <w:lang w:eastAsia="zh-CN"/>
        </w:rPr>
        <w:t>的相关材料（比如原产地证书、</w:t>
      </w:r>
      <w:r>
        <w:rPr>
          <w:rFonts w:ascii="Times New Roman" w:hAnsi="Times New Roman" w:eastAsia="仿宋_GB2312" w:cs="Times New Roman"/>
          <w:i w:val="0"/>
          <w:iCs w:val="0"/>
          <w:caps w:val="0"/>
          <w:spacing w:val="0"/>
          <w:sz w:val="32"/>
          <w:szCs w:val="32"/>
          <w:shd w:val="clear" w:fill="FFFFFF"/>
        </w:rPr>
        <w:t>承诺达标合格证</w:t>
      </w:r>
      <w:r>
        <w:rPr>
          <w:rFonts w:hint="default" w:ascii="Times New Roman" w:hAnsi="Times New Roman" w:eastAsia="仿宋_GB2312" w:cs="Times New Roman"/>
          <w:i w:val="0"/>
          <w:iCs w:val="0"/>
          <w:caps w:val="0"/>
          <w:spacing w:val="0"/>
          <w:sz w:val="32"/>
          <w:szCs w:val="32"/>
          <w:shd w:val="clear" w:fill="FFFFFF"/>
          <w:lang w:eastAsia="zh-CN"/>
        </w:rPr>
        <w:t>，或其他相关证明材料</w:t>
      </w:r>
      <w:r>
        <w:rPr>
          <w:rFonts w:hint="default" w:eastAsia="仿宋_GB2312"/>
          <w:sz w:val="32"/>
          <w:szCs w:val="32"/>
          <w:lang w:eastAsia="zh-CN"/>
        </w:rPr>
        <w:t>）</w:t>
      </w:r>
      <w:r>
        <w:rPr>
          <w:rFonts w:hint="eastAsia" w:eastAsia="仿宋_GB2312"/>
          <w:sz w:val="32"/>
          <w:szCs w:val="32"/>
          <w:lang w:eastAsia="zh-CN"/>
        </w:rPr>
        <w:t>；</w:t>
      </w:r>
    </w:p>
    <w:p>
      <w:pPr>
        <w:spacing w:line="560" w:lineRule="exact"/>
        <w:ind w:firstLine="633" w:firstLineChars="198"/>
        <w:outlineLvl w:val="4"/>
        <w:rPr>
          <w:rFonts w:eastAsia="仿宋_GB2312"/>
          <w:sz w:val="32"/>
          <w:szCs w:val="32"/>
        </w:rPr>
      </w:pPr>
      <w:r>
        <w:rPr>
          <w:rFonts w:hint="default" w:eastAsia="仿宋_GB2312"/>
          <w:sz w:val="32"/>
          <w:szCs w:val="32"/>
          <w:lang w:eastAsia="zh-CN"/>
        </w:rPr>
        <w:t>（</w:t>
      </w:r>
      <w:r>
        <w:rPr>
          <w:rFonts w:hint="eastAsia" w:eastAsia="仿宋_GB2312"/>
          <w:sz w:val="32"/>
          <w:szCs w:val="32"/>
          <w:lang w:val="en-US" w:eastAsia="zh-CN"/>
        </w:rPr>
        <w:t>8</w:t>
      </w:r>
      <w:r>
        <w:rPr>
          <w:rFonts w:hint="default" w:eastAsia="仿宋_GB2312"/>
          <w:sz w:val="32"/>
          <w:szCs w:val="32"/>
          <w:lang w:eastAsia="zh-CN"/>
        </w:rPr>
        <w:t>）</w:t>
      </w:r>
      <w:r>
        <w:rPr>
          <w:rFonts w:eastAsia="仿宋_GB2312"/>
          <w:sz w:val="32"/>
          <w:szCs w:val="32"/>
        </w:rPr>
        <w:t>在“信用中国”下载的企业信用信息报告证明。</w:t>
      </w:r>
    </w:p>
    <w:p>
      <w:pPr>
        <w:pStyle w:val="10"/>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textAlignment w:val="auto"/>
        <w:outlineLvl w:val="1"/>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val="en-US" w:eastAsia="zh-CN"/>
        </w:rPr>
        <w:t>五</w:t>
      </w:r>
      <w:r>
        <w:rPr>
          <w:rFonts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rPr>
        <w:t>支持农业科技企业开展自主创新</w:t>
      </w:r>
      <w:r>
        <w:rPr>
          <w:rFonts w:ascii="Times New Roman" w:hAnsi="Times New Roman" w:eastAsia="楷体_GB2312" w:cs="Times New Roman"/>
          <w:color w:val="auto"/>
          <w:sz w:val="32"/>
          <w:szCs w:val="32"/>
        </w:rPr>
        <w:t>政策申报指南</w:t>
      </w:r>
    </w:p>
    <w:p>
      <w:pPr>
        <w:pStyle w:val="10"/>
        <w:keepNext w:val="0"/>
        <w:keepLines w:val="0"/>
        <w:pageBreakBefore w:val="0"/>
        <w:kinsoku/>
        <w:wordWrap/>
        <w:overflowPunct/>
        <w:topLinePunct w:val="0"/>
        <w:autoSpaceDE/>
        <w:autoSpaceDN/>
        <w:bidi w:val="0"/>
        <w:adjustRightInd/>
        <w:spacing w:before="0" w:beforeAutospacing="0" w:after="0" w:afterAutospacing="0" w:line="560" w:lineRule="exact"/>
        <w:ind w:firstLine="642" w:firstLineChars="200"/>
        <w:textAlignment w:val="auto"/>
        <w:outlineLvl w:val="2"/>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rPr>
        <w:t>1.</w:t>
      </w:r>
      <w:r>
        <w:rPr>
          <w:rFonts w:hint="default" w:ascii="Times New Roman" w:hAnsi="Times New Roman" w:cs="Times New Roman"/>
          <w:color w:val="auto"/>
        </w:rPr>
        <w:t xml:space="preserve"> </w:t>
      </w:r>
      <w:r>
        <w:rPr>
          <w:rFonts w:hint="eastAsia" w:ascii="Times New Roman" w:hAnsi="Times New Roman" w:eastAsia="仿宋_GB2312" w:cs="Times New Roman"/>
          <w:b/>
          <w:color w:val="auto"/>
          <w:sz w:val="32"/>
          <w:szCs w:val="32"/>
        </w:rPr>
        <w:t>政策内容与支持标准</w:t>
      </w:r>
    </w:p>
    <w:p>
      <w:pPr>
        <w:pStyle w:val="10"/>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textAlignment w:val="auto"/>
        <w:rPr>
          <w:rFonts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rPr>
        <w:t>围绕农业中关村建设，支持企业打破国外垄断自主培育新品种，对农业科技创新企业自主育种品种开拓国际市场给予资金奖励。自主育种品种首次出口当年度一次性给予企业50万元奖励，自主育种品种第二年第三年连续出口的，每年给予企业一次性奖励20万元。</w:t>
      </w:r>
    </w:p>
    <w:p>
      <w:pPr>
        <w:pStyle w:val="10"/>
        <w:keepNext w:val="0"/>
        <w:keepLines w:val="0"/>
        <w:pageBreakBefore w:val="0"/>
        <w:kinsoku/>
        <w:wordWrap/>
        <w:overflowPunct/>
        <w:topLinePunct w:val="0"/>
        <w:autoSpaceDE/>
        <w:autoSpaceDN/>
        <w:bidi w:val="0"/>
        <w:adjustRightInd/>
        <w:spacing w:before="0" w:beforeAutospacing="0" w:after="0" w:afterAutospacing="0" w:line="560" w:lineRule="exact"/>
        <w:ind w:firstLine="642" w:firstLineChars="200"/>
        <w:textAlignment w:val="auto"/>
        <w:outlineLvl w:val="2"/>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rPr>
        <w:t>2.申报条件</w:t>
      </w:r>
    </w:p>
    <w:p>
      <w:pPr>
        <w:keepNext w:val="0"/>
        <w:keepLines w:val="0"/>
        <w:pageBreakBefore w:val="0"/>
        <w:kinsoku/>
        <w:wordWrap/>
        <w:overflowPunct/>
        <w:topLinePunct w:val="0"/>
        <w:autoSpaceDE/>
        <w:autoSpaceDN/>
        <w:bidi w:val="0"/>
        <w:adjustRightInd/>
        <w:spacing w:line="560" w:lineRule="exact"/>
        <w:ind w:firstLine="633" w:firstLineChars="198"/>
        <w:textAlignment w:val="auto"/>
        <w:rPr>
          <w:rFonts w:eastAsia="仿宋_GB2312"/>
          <w:sz w:val="32"/>
          <w:szCs w:val="32"/>
        </w:rPr>
      </w:pPr>
      <w:r>
        <w:rPr>
          <w:rFonts w:eastAsia="仿宋_GB2312"/>
          <w:sz w:val="32"/>
          <w:szCs w:val="32"/>
        </w:rPr>
        <w:t>申</w:t>
      </w:r>
      <w:r>
        <w:rPr>
          <w:rFonts w:hint="eastAsia" w:eastAsia="仿宋_GB2312"/>
          <w:sz w:val="32"/>
          <w:szCs w:val="32"/>
        </w:rPr>
        <w:t>报</w:t>
      </w:r>
      <w:r>
        <w:rPr>
          <w:rFonts w:eastAsia="仿宋_GB2312"/>
          <w:sz w:val="32"/>
          <w:szCs w:val="32"/>
        </w:rPr>
        <w:t>该政策企业应同时符合以下条件：</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3"/>
        <w:rPr>
          <w:rFonts w:eastAsia="仿宋_GB2312"/>
          <w:sz w:val="32"/>
          <w:szCs w:val="32"/>
        </w:rPr>
      </w:pPr>
      <w:r>
        <w:rPr>
          <w:rFonts w:eastAsia="仿宋_GB2312"/>
          <w:sz w:val="32"/>
          <w:szCs w:val="32"/>
        </w:rPr>
        <w:t>（1）在平谷区注册并具有独立法人资格的企业，税收解缴关系在平谷区</w:t>
      </w:r>
      <w:r>
        <w:rPr>
          <w:rFonts w:hint="eastAsia" w:eastAsia="仿宋_GB2312"/>
          <w:sz w:val="32"/>
          <w:szCs w:val="32"/>
        </w:rPr>
        <w:t>。</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3"/>
        <w:rPr>
          <w:rFonts w:eastAsia="仿宋_GB2312"/>
          <w:sz w:val="32"/>
          <w:szCs w:val="32"/>
        </w:rPr>
      </w:pPr>
      <w:r>
        <w:rPr>
          <w:rFonts w:eastAsia="仿宋_GB2312"/>
          <w:sz w:val="32"/>
          <w:szCs w:val="32"/>
        </w:rPr>
        <w:t>（</w:t>
      </w:r>
      <w:r>
        <w:rPr>
          <w:rFonts w:hint="eastAsia" w:eastAsia="仿宋_GB2312"/>
          <w:sz w:val="32"/>
          <w:szCs w:val="32"/>
          <w:lang w:val="en-US" w:eastAsia="zh-CN"/>
        </w:rPr>
        <w:t>2</w:t>
      </w:r>
      <w:r>
        <w:rPr>
          <w:rFonts w:eastAsia="仿宋_GB2312"/>
          <w:sz w:val="32"/>
          <w:szCs w:val="32"/>
        </w:rPr>
        <w:t>）</w:t>
      </w:r>
      <w:r>
        <w:rPr>
          <w:rFonts w:hint="eastAsia" w:eastAsia="仿宋_GB2312"/>
          <w:sz w:val="32"/>
          <w:szCs w:val="32"/>
          <w:lang w:val="en-US" w:eastAsia="zh-CN"/>
        </w:rPr>
        <w:t>近三年</w:t>
      </w:r>
      <w:r>
        <w:rPr>
          <w:rFonts w:eastAsia="仿宋_GB2312"/>
          <w:sz w:val="32"/>
          <w:szCs w:val="32"/>
        </w:rPr>
        <w:t>在外经贸业务管理、财务管理、税收管理、外汇管理、海关管理等方面无</w:t>
      </w:r>
      <w:r>
        <w:rPr>
          <w:rFonts w:hint="eastAsia" w:eastAsia="仿宋_GB2312"/>
          <w:sz w:val="32"/>
          <w:szCs w:val="32"/>
        </w:rPr>
        <w:t>严重</w:t>
      </w:r>
      <w:r>
        <w:rPr>
          <w:rFonts w:eastAsia="仿宋_GB2312"/>
          <w:sz w:val="32"/>
          <w:szCs w:val="32"/>
        </w:rPr>
        <w:t>违法行为，无不良信用记录。</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3"/>
        <w:rPr>
          <w:rFonts w:eastAsia="仿宋_GB2312"/>
          <w:sz w:val="32"/>
          <w:szCs w:val="32"/>
        </w:rPr>
      </w:pPr>
      <w:r>
        <w:rPr>
          <w:rFonts w:eastAsia="仿宋_GB2312"/>
          <w:sz w:val="32"/>
          <w:szCs w:val="32"/>
        </w:rPr>
        <w:t>（</w:t>
      </w:r>
      <w:r>
        <w:rPr>
          <w:rFonts w:hint="eastAsia" w:eastAsia="仿宋_GB2312"/>
          <w:sz w:val="32"/>
          <w:szCs w:val="32"/>
          <w:lang w:val="en-US" w:eastAsia="zh-CN"/>
        </w:rPr>
        <w:t>3</w:t>
      </w:r>
      <w:r>
        <w:rPr>
          <w:rFonts w:eastAsia="仿宋_GB2312"/>
          <w:sz w:val="32"/>
          <w:szCs w:val="32"/>
        </w:rPr>
        <w:t>）自觉遵守安全生产、环境保护等各项规定，积极配合区级统计、调查等相关工作。</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3"/>
        <w:rPr>
          <w:rFonts w:eastAsia="仿宋_GB2312"/>
          <w:sz w:val="32"/>
          <w:szCs w:val="32"/>
        </w:rPr>
      </w:pPr>
      <w:r>
        <w:rPr>
          <w:rFonts w:eastAsia="仿宋_GB2312"/>
          <w:sz w:val="32"/>
          <w:szCs w:val="32"/>
        </w:rPr>
        <w:t>（</w:t>
      </w:r>
      <w:r>
        <w:rPr>
          <w:rFonts w:hint="eastAsia" w:eastAsia="仿宋_GB2312"/>
          <w:sz w:val="32"/>
          <w:szCs w:val="32"/>
          <w:lang w:val="en-US" w:eastAsia="zh-CN"/>
        </w:rPr>
        <w:t>4</w:t>
      </w:r>
      <w:r>
        <w:rPr>
          <w:rFonts w:eastAsia="仿宋_GB2312"/>
          <w:sz w:val="32"/>
          <w:szCs w:val="32"/>
        </w:rPr>
        <w:t>）吸纳本区劳动力就业。</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outlineLvl w:val="3"/>
        <w:rPr>
          <w:rFonts w:eastAsia="仿宋_GB2312"/>
          <w:color w:val="auto"/>
          <w:sz w:val="32"/>
          <w:szCs w:val="32"/>
          <w:highlight w:val="none"/>
        </w:rPr>
      </w:pPr>
      <w:r>
        <w:rPr>
          <w:rFonts w:eastAsia="仿宋_GB2312"/>
          <w:color w:val="auto"/>
          <w:sz w:val="32"/>
          <w:szCs w:val="32"/>
          <w:highlight w:val="none"/>
        </w:rPr>
        <w:t>（</w:t>
      </w:r>
      <w:r>
        <w:rPr>
          <w:rFonts w:hint="eastAsia" w:eastAsia="仿宋_GB2312"/>
          <w:color w:val="auto"/>
          <w:sz w:val="32"/>
          <w:szCs w:val="32"/>
          <w:highlight w:val="none"/>
          <w:lang w:val="en-US" w:eastAsia="zh-CN"/>
        </w:rPr>
        <w:t>5</w:t>
      </w:r>
      <w:r>
        <w:rPr>
          <w:rFonts w:eastAsia="仿宋_GB2312"/>
          <w:color w:val="auto"/>
          <w:sz w:val="32"/>
          <w:szCs w:val="32"/>
          <w:highlight w:val="none"/>
        </w:rPr>
        <w:t>）申报企业</w:t>
      </w:r>
      <w:r>
        <w:rPr>
          <w:rFonts w:hint="eastAsia" w:eastAsia="仿宋_GB2312"/>
          <w:color w:val="auto"/>
          <w:sz w:val="32"/>
          <w:szCs w:val="32"/>
          <w:highlight w:val="none"/>
          <w:lang w:val="en-US" w:eastAsia="zh-CN"/>
        </w:rPr>
        <w:t>未</w:t>
      </w:r>
      <w:r>
        <w:rPr>
          <w:rFonts w:eastAsia="仿宋_GB2312"/>
          <w:color w:val="auto"/>
          <w:sz w:val="32"/>
          <w:szCs w:val="32"/>
          <w:highlight w:val="none"/>
        </w:rPr>
        <w:t>被列入《北京市新增产业的禁止和限制目录》禁止类和限制类范围。</w:t>
      </w:r>
    </w:p>
    <w:p>
      <w:pPr>
        <w:snapToGrid w:val="0"/>
        <w:spacing w:line="560" w:lineRule="exact"/>
        <w:ind w:firstLine="640" w:firstLineChars="200"/>
        <w:outlineLvl w:val="3"/>
        <w:rPr>
          <w:highlight w:val="none"/>
        </w:rPr>
      </w:pPr>
      <w:r>
        <w:rPr>
          <w:rFonts w:eastAsia="仿宋_GB2312"/>
          <w:color w:val="auto"/>
          <w:sz w:val="32"/>
          <w:szCs w:val="32"/>
          <w:highlight w:val="none"/>
        </w:rPr>
        <w:t>（</w:t>
      </w:r>
      <w:r>
        <w:rPr>
          <w:rFonts w:hint="eastAsia" w:eastAsia="仿宋_GB2312"/>
          <w:color w:val="auto"/>
          <w:sz w:val="32"/>
          <w:szCs w:val="32"/>
          <w:highlight w:val="none"/>
          <w:lang w:val="en-US" w:eastAsia="zh-CN"/>
        </w:rPr>
        <w:t>6</w:t>
      </w:r>
      <w:r>
        <w:rPr>
          <w:rFonts w:eastAsia="仿宋_GB2312"/>
          <w:color w:val="auto"/>
          <w:sz w:val="32"/>
          <w:szCs w:val="32"/>
          <w:highlight w:val="none"/>
        </w:rPr>
        <w:t>）</w:t>
      </w:r>
      <w:r>
        <w:rPr>
          <w:rFonts w:hint="eastAsia" w:eastAsia="仿宋_GB2312"/>
          <w:color w:val="auto"/>
          <w:sz w:val="32"/>
          <w:szCs w:val="32"/>
          <w:highlight w:val="none"/>
          <w:lang w:eastAsia="zh-CN"/>
        </w:rPr>
        <w:t>申报当年未以同一项目内容申报并获得中央及市级、区级其他财政资金支持。</w:t>
      </w:r>
    </w:p>
    <w:p>
      <w:pPr>
        <w:pStyle w:val="10"/>
        <w:keepNext w:val="0"/>
        <w:keepLines w:val="0"/>
        <w:pageBreakBefore w:val="0"/>
        <w:kinsoku/>
        <w:wordWrap/>
        <w:overflowPunct/>
        <w:topLinePunct w:val="0"/>
        <w:autoSpaceDE/>
        <w:autoSpaceDN/>
        <w:bidi w:val="0"/>
        <w:adjustRightInd/>
        <w:spacing w:before="0" w:beforeAutospacing="0" w:after="0" w:afterAutospacing="0" w:line="560" w:lineRule="exact"/>
        <w:ind w:firstLine="642" w:firstLineChars="200"/>
        <w:textAlignment w:val="auto"/>
        <w:outlineLvl w:val="2"/>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rPr>
        <w:t>3.申报材料</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3"/>
        <w:rPr>
          <w:rFonts w:eastAsia="仿宋_GB2312"/>
          <w:sz w:val="32"/>
          <w:szCs w:val="32"/>
        </w:rPr>
      </w:pPr>
      <w:r>
        <w:rPr>
          <w:rFonts w:eastAsia="仿宋_GB2312"/>
          <w:sz w:val="32"/>
          <w:szCs w:val="32"/>
        </w:rPr>
        <w:t>（1）</w:t>
      </w:r>
      <w:r>
        <w:rPr>
          <w:rFonts w:hint="eastAsia" w:eastAsia="仿宋_GB2312"/>
          <w:sz w:val="32"/>
          <w:szCs w:val="32"/>
        </w:rPr>
        <w:t>项目申报书、</w:t>
      </w:r>
      <w:r>
        <w:rPr>
          <w:rFonts w:eastAsia="仿宋_GB2312"/>
          <w:sz w:val="32"/>
          <w:szCs w:val="32"/>
        </w:rPr>
        <w:t>资金申请表</w:t>
      </w:r>
      <w:r>
        <w:rPr>
          <w:rFonts w:hint="eastAsia" w:eastAsia="仿宋_GB2312"/>
          <w:sz w:val="32"/>
          <w:szCs w:val="32"/>
        </w:rPr>
        <w:t>、项目申报单位承诺书、法定代表人授权委托书</w:t>
      </w:r>
      <w:r>
        <w:rPr>
          <w:rFonts w:eastAsia="仿宋_GB2312"/>
          <w:sz w:val="32"/>
          <w:szCs w:val="32"/>
        </w:rPr>
        <w:t>（见附件2</w:t>
      </w:r>
      <w:r>
        <w:rPr>
          <w:rFonts w:hint="eastAsia" w:eastAsia="仿宋_GB2312"/>
          <w:sz w:val="32"/>
          <w:szCs w:val="32"/>
        </w:rPr>
        <w:t>、3、4、5</w:t>
      </w:r>
      <w:r>
        <w:rPr>
          <w:rFonts w:eastAsia="仿宋_GB2312"/>
          <w:sz w:val="32"/>
          <w:szCs w:val="32"/>
        </w:rPr>
        <w:t>）；</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3"/>
        <w:rPr>
          <w:rFonts w:eastAsia="仿宋_GB2312"/>
          <w:sz w:val="32"/>
          <w:szCs w:val="32"/>
        </w:rPr>
      </w:pPr>
      <w:r>
        <w:rPr>
          <w:rFonts w:eastAsia="仿宋_GB2312"/>
          <w:sz w:val="32"/>
          <w:szCs w:val="32"/>
        </w:rPr>
        <w:t>（2）营业执照复印件；</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3"/>
        <w:rPr>
          <w:rFonts w:eastAsia="仿宋_GB2312"/>
          <w:sz w:val="32"/>
          <w:szCs w:val="32"/>
        </w:rPr>
      </w:pPr>
      <w:r>
        <w:rPr>
          <w:rFonts w:eastAsia="仿宋_GB2312"/>
          <w:sz w:val="32"/>
          <w:szCs w:val="32"/>
        </w:rPr>
        <w:t xml:space="preserve">（3）法人代表身份证复印件及代理人身份证复印件； </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3"/>
        <w:rPr>
          <w:rFonts w:hint="eastAsia" w:eastAsia="仿宋_GB2312"/>
          <w:sz w:val="32"/>
          <w:szCs w:val="32"/>
          <w:lang w:eastAsia="zh-CN"/>
        </w:rPr>
      </w:pPr>
      <w:r>
        <w:rPr>
          <w:rFonts w:hint="eastAsia" w:eastAsia="仿宋_GB2312"/>
          <w:sz w:val="32"/>
          <w:szCs w:val="32"/>
        </w:rPr>
        <w:t>（4）</w:t>
      </w:r>
      <w:r>
        <w:rPr>
          <w:rFonts w:hint="eastAsia" w:eastAsia="仿宋_GB2312"/>
          <w:sz w:val="32"/>
          <w:szCs w:val="32"/>
          <w:lang w:eastAsia="zh-CN"/>
        </w:rPr>
        <w:t>农业科技创新企业自主育种品种的相关证明材料（如相关知识产权证明；经国家畜禽遗传资源委员会审定后、获得畜禽新品种证书等）；</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3"/>
      </w:pPr>
      <w:r>
        <w:rPr>
          <w:rFonts w:hint="eastAsia" w:eastAsia="仿宋_GB2312"/>
          <w:sz w:val="32"/>
          <w:szCs w:val="32"/>
          <w:lang w:eastAsia="zh-CN"/>
        </w:rPr>
        <w:t>（</w:t>
      </w:r>
      <w:r>
        <w:rPr>
          <w:rFonts w:hint="eastAsia" w:eastAsia="仿宋_GB2312"/>
          <w:sz w:val="32"/>
          <w:szCs w:val="32"/>
          <w:lang w:val="en-US" w:eastAsia="zh-CN"/>
        </w:rPr>
        <w:t>5</w:t>
      </w:r>
      <w:r>
        <w:rPr>
          <w:rFonts w:hint="eastAsia" w:eastAsia="仿宋_GB2312"/>
          <w:sz w:val="32"/>
          <w:szCs w:val="32"/>
          <w:lang w:eastAsia="zh-CN"/>
        </w:rPr>
        <w:t>）</w:t>
      </w:r>
      <w:r>
        <w:rPr>
          <w:rFonts w:hint="eastAsia" w:eastAsia="仿宋_GB2312"/>
          <w:sz w:val="32"/>
          <w:szCs w:val="32"/>
        </w:rPr>
        <w:t>自主育种品种</w:t>
      </w:r>
      <w:r>
        <w:rPr>
          <w:rFonts w:hint="eastAsia" w:eastAsia="仿宋_GB2312"/>
          <w:sz w:val="32"/>
          <w:szCs w:val="32"/>
          <w:lang w:val="en-US" w:eastAsia="zh-CN"/>
        </w:rPr>
        <w:t>出口合同复印件及</w:t>
      </w:r>
      <w:r>
        <w:rPr>
          <w:rFonts w:hint="eastAsia" w:eastAsia="仿宋_GB2312"/>
          <w:sz w:val="32"/>
          <w:szCs w:val="32"/>
        </w:rPr>
        <w:t>银行出具的收汇凭证复印件；</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3"/>
        <w:rPr>
          <w:rFonts w:eastAsia="仿宋_GB2312"/>
          <w:sz w:val="32"/>
          <w:szCs w:val="32"/>
        </w:rPr>
      </w:pPr>
      <w:r>
        <w:rPr>
          <w:rFonts w:eastAsia="仿宋_GB2312"/>
          <w:sz w:val="32"/>
          <w:szCs w:val="32"/>
        </w:rPr>
        <w:t>（</w:t>
      </w:r>
      <w:r>
        <w:rPr>
          <w:rFonts w:hint="eastAsia" w:eastAsia="仿宋_GB2312"/>
          <w:sz w:val="32"/>
          <w:szCs w:val="32"/>
          <w:lang w:val="en-US" w:eastAsia="zh-CN"/>
        </w:rPr>
        <w:t>6</w:t>
      </w:r>
      <w:r>
        <w:rPr>
          <w:rFonts w:eastAsia="仿宋_GB2312"/>
          <w:sz w:val="32"/>
          <w:szCs w:val="32"/>
        </w:rPr>
        <w:t>）税务主管部门出具的企业当年度纳税证明复印件；</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3"/>
        <w:rPr>
          <w:rFonts w:eastAsia="仿宋_GB2312"/>
          <w:sz w:val="32"/>
          <w:szCs w:val="32"/>
        </w:rPr>
      </w:pPr>
      <w:r>
        <w:rPr>
          <w:rFonts w:eastAsia="仿宋_GB2312"/>
          <w:sz w:val="32"/>
          <w:szCs w:val="32"/>
        </w:rPr>
        <w:t>（</w:t>
      </w:r>
      <w:r>
        <w:rPr>
          <w:rFonts w:hint="eastAsia" w:eastAsia="仿宋_GB2312"/>
          <w:sz w:val="32"/>
          <w:szCs w:val="32"/>
          <w:lang w:val="en-US" w:eastAsia="zh-CN"/>
        </w:rPr>
        <w:t>7</w:t>
      </w:r>
      <w:r>
        <w:rPr>
          <w:rFonts w:eastAsia="仿宋_GB2312"/>
          <w:sz w:val="32"/>
          <w:szCs w:val="32"/>
        </w:rPr>
        <w:t>）当年度审计报告或财务报表；</w:t>
      </w:r>
    </w:p>
    <w:p>
      <w:pPr>
        <w:pStyle w:val="2"/>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ascii="Times New Roman" w:hAnsi="Times New Roman"/>
        </w:rPr>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8</w:t>
      </w:r>
      <w:r>
        <w:rPr>
          <w:rFonts w:ascii="Times New Roman" w:hAnsi="Times New Roman" w:eastAsia="仿宋_GB2312"/>
          <w:sz w:val="32"/>
          <w:szCs w:val="32"/>
        </w:rPr>
        <w:t>）在“信用中国”下载的企业信用信息报告证明。</w:t>
      </w:r>
    </w:p>
    <w:p>
      <w:pPr>
        <w:pStyle w:val="10"/>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textAlignment w:val="auto"/>
        <w:outlineLvl w:val="1"/>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val="en-US" w:eastAsia="zh-CN"/>
        </w:rPr>
        <w:t>六</w:t>
      </w:r>
      <w:r>
        <w:rPr>
          <w:rFonts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rPr>
        <w:t>支持企业开展对外直接投资</w:t>
      </w:r>
      <w:r>
        <w:rPr>
          <w:rFonts w:ascii="Times New Roman" w:hAnsi="Times New Roman" w:eastAsia="楷体_GB2312" w:cs="Times New Roman"/>
          <w:color w:val="auto"/>
          <w:sz w:val="32"/>
          <w:szCs w:val="32"/>
        </w:rPr>
        <w:t>政策申报指南</w:t>
      </w:r>
    </w:p>
    <w:p>
      <w:pPr>
        <w:pStyle w:val="10"/>
        <w:keepNext w:val="0"/>
        <w:keepLines w:val="0"/>
        <w:pageBreakBefore w:val="0"/>
        <w:kinsoku/>
        <w:wordWrap/>
        <w:overflowPunct/>
        <w:topLinePunct w:val="0"/>
        <w:autoSpaceDE/>
        <w:autoSpaceDN/>
        <w:bidi w:val="0"/>
        <w:adjustRightInd/>
        <w:spacing w:before="0" w:beforeAutospacing="0" w:after="0" w:afterAutospacing="0" w:line="560" w:lineRule="exact"/>
        <w:ind w:firstLine="642" w:firstLineChars="200"/>
        <w:textAlignment w:val="auto"/>
        <w:outlineLvl w:val="2"/>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rPr>
        <w:t>1.</w:t>
      </w:r>
      <w:r>
        <w:rPr>
          <w:rFonts w:hint="default" w:ascii="Times New Roman" w:hAnsi="Times New Roman" w:cs="Times New Roman"/>
          <w:color w:val="auto"/>
        </w:rPr>
        <w:t xml:space="preserve"> </w:t>
      </w:r>
      <w:r>
        <w:rPr>
          <w:rFonts w:hint="eastAsia" w:ascii="Times New Roman" w:hAnsi="Times New Roman" w:eastAsia="仿宋_GB2312" w:cs="Times New Roman"/>
          <w:b/>
          <w:color w:val="auto"/>
          <w:sz w:val="32"/>
          <w:szCs w:val="32"/>
        </w:rPr>
        <w:t>政策内容与支持标准</w:t>
      </w:r>
    </w:p>
    <w:p>
      <w:pPr>
        <w:pStyle w:val="10"/>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textAlignment w:val="auto"/>
        <w:rPr>
          <w:rFonts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rPr>
        <w:t>企业境外投资项目在规定年度内直接投资额100-500万美元的，给予10万元人民币的一次性奖励</w:t>
      </w:r>
      <w:r>
        <w:rPr>
          <w:rFonts w:hint="eastAsia" w:ascii="Times New Roman" w:hAnsi="Times New Roman" w:eastAsia="仿宋_GB2312" w:cs="Times New Roman"/>
          <w:bCs/>
          <w:color w:val="auto"/>
          <w:sz w:val="32"/>
          <w:szCs w:val="32"/>
          <w:lang w:eastAsia="zh-CN"/>
        </w:rPr>
        <w:t>；</w:t>
      </w:r>
      <w:r>
        <w:rPr>
          <w:rFonts w:hint="eastAsia" w:ascii="Times New Roman" w:hAnsi="Times New Roman" w:eastAsia="仿宋_GB2312" w:cs="Times New Roman"/>
          <w:bCs/>
          <w:color w:val="auto"/>
          <w:sz w:val="32"/>
          <w:szCs w:val="32"/>
        </w:rPr>
        <w:t>企业境外投资项目在规定年度内直接投资额500（含）-1000万美元的，给予30万元人民币的一次性奖励</w:t>
      </w:r>
      <w:r>
        <w:rPr>
          <w:rFonts w:hint="eastAsia" w:ascii="Times New Roman" w:hAnsi="Times New Roman" w:eastAsia="仿宋_GB2312" w:cs="Times New Roman"/>
          <w:bCs/>
          <w:color w:val="auto"/>
          <w:sz w:val="32"/>
          <w:szCs w:val="32"/>
          <w:lang w:eastAsia="zh-CN"/>
        </w:rPr>
        <w:t>；</w:t>
      </w:r>
      <w:r>
        <w:rPr>
          <w:rFonts w:hint="eastAsia" w:ascii="Times New Roman" w:hAnsi="Times New Roman" w:eastAsia="仿宋_GB2312" w:cs="Times New Roman"/>
          <w:bCs/>
          <w:color w:val="auto"/>
          <w:sz w:val="32"/>
          <w:szCs w:val="32"/>
        </w:rPr>
        <w:t>企业境外投资项目在规定年度内直接投资额1000（含）万美元以上的，给予50万元人民币的一次性奖励。</w:t>
      </w:r>
    </w:p>
    <w:p>
      <w:pPr>
        <w:pStyle w:val="10"/>
        <w:keepNext w:val="0"/>
        <w:keepLines w:val="0"/>
        <w:pageBreakBefore w:val="0"/>
        <w:kinsoku/>
        <w:wordWrap/>
        <w:overflowPunct/>
        <w:topLinePunct w:val="0"/>
        <w:autoSpaceDE/>
        <w:autoSpaceDN/>
        <w:bidi w:val="0"/>
        <w:adjustRightInd/>
        <w:spacing w:before="0" w:beforeAutospacing="0" w:after="0" w:afterAutospacing="0" w:line="560" w:lineRule="exact"/>
        <w:ind w:firstLine="642" w:firstLineChars="200"/>
        <w:textAlignment w:val="auto"/>
        <w:outlineLvl w:val="2"/>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rPr>
        <w:t>2.申报条件</w:t>
      </w:r>
    </w:p>
    <w:p>
      <w:pPr>
        <w:keepNext w:val="0"/>
        <w:keepLines w:val="0"/>
        <w:pageBreakBefore w:val="0"/>
        <w:kinsoku/>
        <w:wordWrap/>
        <w:overflowPunct/>
        <w:topLinePunct w:val="0"/>
        <w:autoSpaceDE/>
        <w:autoSpaceDN/>
        <w:bidi w:val="0"/>
        <w:adjustRightInd/>
        <w:spacing w:line="560" w:lineRule="exact"/>
        <w:ind w:firstLine="633" w:firstLineChars="198"/>
        <w:textAlignment w:val="auto"/>
        <w:rPr>
          <w:rFonts w:eastAsia="仿宋_GB2312"/>
          <w:sz w:val="32"/>
          <w:szCs w:val="32"/>
        </w:rPr>
      </w:pPr>
      <w:r>
        <w:rPr>
          <w:rFonts w:eastAsia="仿宋_GB2312"/>
          <w:sz w:val="32"/>
          <w:szCs w:val="32"/>
        </w:rPr>
        <w:t>申</w:t>
      </w:r>
      <w:r>
        <w:rPr>
          <w:rFonts w:hint="eastAsia" w:eastAsia="仿宋_GB2312"/>
          <w:sz w:val="32"/>
          <w:szCs w:val="32"/>
        </w:rPr>
        <w:t>报</w:t>
      </w:r>
      <w:r>
        <w:rPr>
          <w:rFonts w:eastAsia="仿宋_GB2312"/>
          <w:sz w:val="32"/>
          <w:szCs w:val="32"/>
        </w:rPr>
        <w:t>该政策企业应同时符合以下条件：</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3"/>
        <w:rPr>
          <w:rFonts w:eastAsia="仿宋_GB2312"/>
          <w:sz w:val="32"/>
          <w:szCs w:val="32"/>
        </w:rPr>
      </w:pPr>
      <w:r>
        <w:rPr>
          <w:rFonts w:eastAsia="仿宋_GB2312"/>
          <w:sz w:val="32"/>
          <w:szCs w:val="32"/>
        </w:rPr>
        <w:t>（1）在平谷区注册并具有独立法人资格的企业，税收解缴关系在平谷区</w:t>
      </w:r>
      <w:r>
        <w:rPr>
          <w:rFonts w:hint="eastAsia" w:eastAsia="仿宋_GB2312"/>
          <w:sz w:val="32"/>
          <w:szCs w:val="32"/>
        </w:rPr>
        <w:t>。</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3"/>
        <w:rPr>
          <w:rFonts w:eastAsia="仿宋_GB2312"/>
          <w:sz w:val="32"/>
          <w:szCs w:val="32"/>
        </w:rPr>
      </w:pPr>
      <w:r>
        <w:rPr>
          <w:rFonts w:eastAsia="仿宋_GB2312"/>
          <w:sz w:val="32"/>
          <w:szCs w:val="32"/>
        </w:rPr>
        <w:t>（</w:t>
      </w:r>
      <w:r>
        <w:rPr>
          <w:rFonts w:hint="eastAsia" w:eastAsia="仿宋_GB2312"/>
          <w:sz w:val="32"/>
          <w:szCs w:val="32"/>
          <w:lang w:val="en-US" w:eastAsia="zh-CN"/>
        </w:rPr>
        <w:t>2</w:t>
      </w:r>
      <w:r>
        <w:rPr>
          <w:rFonts w:eastAsia="仿宋_GB2312"/>
          <w:sz w:val="32"/>
          <w:szCs w:val="32"/>
        </w:rPr>
        <w:t>）</w:t>
      </w:r>
      <w:r>
        <w:rPr>
          <w:rFonts w:hint="eastAsia" w:eastAsia="仿宋_GB2312"/>
          <w:sz w:val="32"/>
          <w:szCs w:val="32"/>
          <w:lang w:val="en-US" w:eastAsia="zh-CN"/>
        </w:rPr>
        <w:t>近三年</w:t>
      </w:r>
      <w:r>
        <w:rPr>
          <w:rFonts w:eastAsia="仿宋_GB2312"/>
          <w:sz w:val="32"/>
          <w:szCs w:val="32"/>
        </w:rPr>
        <w:t>在外经贸业务管理、财务管理、税收管理、外汇管理、海关管理等方面无</w:t>
      </w:r>
      <w:r>
        <w:rPr>
          <w:rFonts w:hint="eastAsia" w:eastAsia="仿宋_GB2312"/>
          <w:sz w:val="32"/>
          <w:szCs w:val="32"/>
        </w:rPr>
        <w:t>严重</w:t>
      </w:r>
      <w:r>
        <w:rPr>
          <w:rFonts w:eastAsia="仿宋_GB2312"/>
          <w:sz w:val="32"/>
          <w:szCs w:val="32"/>
        </w:rPr>
        <w:t>违法行为，无不良信用记录。</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3"/>
        <w:rPr>
          <w:rFonts w:eastAsia="仿宋_GB2312"/>
          <w:sz w:val="32"/>
          <w:szCs w:val="32"/>
        </w:rPr>
      </w:pPr>
      <w:r>
        <w:rPr>
          <w:rFonts w:eastAsia="仿宋_GB2312"/>
          <w:sz w:val="32"/>
          <w:szCs w:val="32"/>
        </w:rPr>
        <w:t>（</w:t>
      </w:r>
      <w:r>
        <w:rPr>
          <w:rFonts w:hint="eastAsia" w:eastAsia="仿宋_GB2312"/>
          <w:sz w:val="32"/>
          <w:szCs w:val="32"/>
          <w:lang w:val="en-US" w:eastAsia="zh-CN"/>
        </w:rPr>
        <w:t>3</w:t>
      </w:r>
      <w:r>
        <w:rPr>
          <w:rFonts w:eastAsia="仿宋_GB2312"/>
          <w:sz w:val="32"/>
          <w:szCs w:val="32"/>
        </w:rPr>
        <w:t>）自觉遵守安全生产、环境保护等各项规定，积极配合区级统计、调查等相关工作。</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3"/>
        <w:rPr>
          <w:rFonts w:eastAsia="仿宋_GB2312"/>
          <w:sz w:val="32"/>
          <w:szCs w:val="32"/>
        </w:rPr>
      </w:pPr>
      <w:r>
        <w:rPr>
          <w:rFonts w:eastAsia="仿宋_GB2312"/>
          <w:sz w:val="32"/>
          <w:szCs w:val="32"/>
        </w:rPr>
        <w:t>（</w:t>
      </w:r>
      <w:r>
        <w:rPr>
          <w:rFonts w:hint="eastAsia" w:eastAsia="仿宋_GB2312"/>
          <w:sz w:val="32"/>
          <w:szCs w:val="32"/>
          <w:lang w:val="en-US" w:eastAsia="zh-CN"/>
        </w:rPr>
        <w:t>4</w:t>
      </w:r>
      <w:r>
        <w:rPr>
          <w:rFonts w:eastAsia="仿宋_GB2312"/>
          <w:sz w:val="32"/>
          <w:szCs w:val="32"/>
        </w:rPr>
        <w:t>）吸纳本区劳动力就业。</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outlineLvl w:val="3"/>
        <w:rPr>
          <w:rFonts w:hint="eastAsia" w:eastAsia="仿宋_GB2312"/>
          <w:color w:val="auto"/>
          <w:sz w:val="32"/>
          <w:szCs w:val="32"/>
          <w:highlight w:val="none"/>
          <w:lang w:eastAsia="zh-CN"/>
        </w:rPr>
      </w:pPr>
      <w:r>
        <w:rPr>
          <w:rFonts w:eastAsia="仿宋_GB2312"/>
          <w:color w:val="auto"/>
          <w:sz w:val="32"/>
          <w:szCs w:val="32"/>
          <w:highlight w:val="none"/>
        </w:rPr>
        <w:t>（</w:t>
      </w:r>
      <w:r>
        <w:rPr>
          <w:rFonts w:hint="eastAsia" w:eastAsia="仿宋_GB2312"/>
          <w:color w:val="auto"/>
          <w:sz w:val="32"/>
          <w:szCs w:val="32"/>
          <w:highlight w:val="none"/>
          <w:lang w:val="en-US" w:eastAsia="zh-CN"/>
        </w:rPr>
        <w:t>5</w:t>
      </w:r>
      <w:r>
        <w:rPr>
          <w:rFonts w:eastAsia="仿宋_GB2312"/>
          <w:color w:val="auto"/>
          <w:sz w:val="32"/>
          <w:szCs w:val="32"/>
          <w:highlight w:val="none"/>
        </w:rPr>
        <w:t>）申报企业</w:t>
      </w:r>
      <w:r>
        <w:rPr>
          <w:rFonts w:hint="eastAsia" w:eastAsia="仿宋_GB2312"/>
          <w:color w:val="auto"/>
          <w:sz w:val="32"/>
          <w:szCs w:val="32"/>
          <w:highlight w:val="none"/>
          <w:lang w:val="en-US" w:eastAsia="zh-CN"/>
        </w:rPr>
        <w:t>未</w:t>
      </w:r>
      <w:r>
        <w:rPr>
          <w:rFonts w:eastAsia="仿宋_GB2312"/>
          <w:color w:val="auto"/>
          <w:sz w:val="32"/>
          <w:szCs w:val="32"/>
          <w:highlight w:val="none"/>
        </w:rPr>
        <w:t>被列入《北京市新增产业的禁止和限制目录》禁止类和限制类范围</w:t>
      </w:r>
      <w:r>
        <w:rPr>
          <w:rFonts w:hint="eastAsia" w:eastAsia="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outlineLvl w:val="3"/>
        <w:rPr>
          <w:rFonts w:hint="eastAsia"/>
          <w:highlight w:val="none"/>
          <w:lang w:eastAsia="zh-CN"/>
        </w:rPr>
      </w:pPr>
      <w:r>
        <w:rPr>
          <w:rFonts w:eastAsia="仿宋_GB2312"/>
          <w:color w:val="auto"/>
          <w:sz w:val="32"/>
          <w:szCs w:val="32"/>
          <w:highlight w:val="none"/>
        </w:rPr>
        <w:t>（</w:t>
      </w:r>
      <w:r>
        <w:rPr>
          <w:rFonts w:hint="eastAsia" w:eastAsia="仿宋_GB2312"/>
          <w:color w:val="auto"/>
          <w:sz w:val="32"/>
          <w:szCs w:val="32"/>
          <w:highlight w:val="none"/>
          <w:lang w:val="en-US" w:eastAsia="zh-CN"/>
        </w:rPr>
        <w:t>6</w:t>
      </w:r>
      <w:r>
        <w:rPr>
          <w:rFonts w:eastAsia="仿宋_GB2312"/>
          <w:color w:val="auto"/>
          <w:sz w:val="32"/>
          <w:szCs w:val="32"/>
          <w:highlight w:val="none"/>
        </w:rPr>
        <w:t>）</w:t>
      </w:r>
      <w:r>
        <w:rPr>
          <w:rFonts w:hint="eastAsia" w:eastAsia="仿宋_GB2312"/>
          <w:color w:val="auto"/>
          <w:sz w:val="32"/>
          <w:szCs w:val="32"/>
          <w:highlight w:val="none"/>
          <w:lang w:eastAsia="zh-CN"/>
        </w:rPr>
        <w:t>申报当年未以同一项目内容申报并获得中央及市级、区级其他财政资金支持。</w:t>
      </w:r>
    </w:p>
    <w:p>
      <w:pPr>
        <w:pStyle w:val="10"/>
        <w:keepNext w:val="0"/>
        <w:keepLines w:val="0"/>
        <w:pageBreakBefore w:val="0"/>
        <w:kinsoku/>
        <w:wordWrap/>
        <w:overflowPunct/>
        <w:topLinePunct w:val="0"/>
        <w:autoSpaceDE/>
        <w:autoSpaceDN/>
        <w:bidi w:val="0"/>
        <w:adjustRightInd/>
        <w:spacing w:before="0" w:beforeAutospacing="0" w:after="0" w:afterAutospacing="0" w:line="560" w:lineRule="exact"/>
        <w:ind w:firstLine="642" w:firstLineChars="200"/>
        <w:textAlignment w:val="auto"/>
        <w:outlineLvl w:val="2"/>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rPr>
        <w:t>3.申报材料</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3"/>
        <w:rPr>
          <w:rFonts w:eastAsia="仿宋_GB2312"/>
          <w:sz w:val="32"/>
          <w:szCs w:val="32"/>
          <w:highlight w:val="none"/>
        </w:rPr>
      </w:pPr>
      <w:r>
        <w:rPr>
          <w:rFonts w:eastAsia="仿宋_GB2312"/>
          <w:sz w:val="32"/>
          <w:szCs w:val="32"/>
          <w:highlight w:val="none"/>
        </w:rPr>
        <w:t>（1）</w:t>
      </w:r>
      <w:r>
        <w:rPr>
          <w:rFonts w:hint="eastAsia" w:eastAsia="仿宋_GB2312"/>
          <w:sz w:val="32"/>
          <w:szCs w:val="32"/>
          <w:highlight w:val="none"/>
        </w:rPr>
        <w:t>项目申报书、</w:t>
      </w:r>
      <w:r>
        <w:rPr>
          <w:rFonts w:eastAsia="仿宋_GB2312"/>
          <w:sz w:val="32"/>
          <w:szCs w:val="32"/>
          <w:highlight w:val="none"/>
        </w:rPr>
        <w:t>资金申请表</w:t>
      </w:r>
      <w:r>
        <w:rPr>
          <w:rFonts w:hint="eastAsia" w:eastAsia="仿宋_GB2312"/>
          <w:sz w:val="32"/>
          <w:szCs w:val="32"/>
          <w:highlight w:val="none"/>
        </w:rPr>
        <w:t>、项目申报单位承诺书、法定代表人授权委托书</w:t>
      </w:r>
      <w:r>
        <w:rPr>
          <w:rFonts w:eastAsia="仿宋_GB2312"/>
          <w:sz w:val="32"/>
          <w:szCs w:val="32"/>
          <w:highlight w:val="none"/>
        </w:rPr>
        <w:t>（见附件2</w:t>
      </w:r>
      <w:r>
        <w:rPr>
          <w:rFonts w:hint="eastAsia" w:eastAsia="仿宋_GB2312"/>
          <w:sz w:val="32"/>
          <w:szCs w:val="32"/>
          <w:highlight w:val="none"/>
        </w:rPr>
        <w:t>、3、4、5</w:t>
      </w:r>
      <w:r>
        <w:rPr>
          <w:rFonts w:eastAsia="仿宋_GB2312"/>
          <w:sz w:val="32"/>
          <w:szCs w:val="32"/>
          <w:highlight w:val="none"/>
        </w:rPr>
        <w:t>）；</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3"/>
        <w:rPr>
          <w:rFonts w:eastAsia="仿宋_GB2312"/>
          <w:sz w:val="32"/>
          <w:szCs w:val="32"/>
          <w:highlight w:val="none"/>
        </w:rPr>
      </w:pPr>
      <w:r>
        <w:rPr>
          <w:rFonts w:eastAsia="仿宋_GB2312"/>
          <w:sz w:val="32"/>
          <w:szCs w:val="32"/>
          <w:highlight w:val="none"/>
        </w:rPr>
        <w:t>（2）营业执照复印件；</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3"/>
        <w:rPr>
          <w:rFonts w:eastAsia="仿宋_GB2312"/>
          <w:sz w:val="32"/>
          <w:szCs w:val="32"/>
          <w:highlight w:val="none"/>
        </w:rPr>
      </w:pPr>
      <w:r>
        <w:rPr>
          <w:rFonts w:eastAsia="仿宋_GB2312"/>
          <w:sz w:val="32"/>
          <w:szCs w:val="32"/>
          <w:highlight w:val="none"/>
        </w:rPr>
        <w:t xml:space="preserve">（3）法人代表身份证复印件及代理人身份证复印件； </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3"/>
        <w:rPr>
          <w:rFonts w:hint="eastAsia" w:eastAsia="仿宋_GB2312"/>
          <w:sz w:val="32"/>
          <w:szCs w:val="32"/>
          <w:highlight w:val="none"/>
        </w:rPr>
      </w:pPr>
      <w:r>
        <w:rPr>
          <w:rFonts w:hint="eastAsia" w:eastAsia="仿宋_GB2312"/>
          <w:sz w:val="32"/>
          <w:szCs w:val="32"/>
          <w:highlight w:val="none"/>
        </w:rPr>
        <w:t>（4）《企业境外投资证书》</w:t>
      </w:r>
      <w:r>
        <w:rPr>
          <w:rFonts w:hint="eastAsia" w:eastAsia="仿宋_GB2312"/>
          <w:sz w:val="32"/>
          <w:szCs w:val="32"/>
          <w:highlight w:val="none"/>
          <w:lang w:val="en-US" w:eastAsia="zh-CN"/>
        </w:rPr>
        <w:t>复印件或境外投资《</w:t>
      </w:r>
      <w:r>
        <w:rPr>
          <w:rFonts w:hint="eastAsia" w:eastAsia="仿宋_GB2312"/>
          <w:sz w:val="32"/>
          <w:szCs w:val="32"/>
          <w:highlight w:val="none"/>
        </w:rPr>
        <w:t>项目备案通知书</w:t>
      </w:r>
      <w:r>
        <w:rPr>
          <w:rFonts w:hint="eastAsia" w:eastAsia="仿宋_GB2312"/>
          <w:sz w:val="32"/>
          <w:szCs w:val="32"/>
          <w:highlight w:val="none"/>
          <w:lang w:val="en-US" w:eastAsia="zh-CN"/>
        </w:rPr>
        <w:t>》</w:t>
      </w:r>
      <w:r>
        <w:rPr>
          <w:rFonts w:hint="eastAsia" w:eastAsia="仿宋_GB2312"/>
          <w:sz w:val="32"/>
          <w:szCs w:val="32"/>
          <w:highlight w:val="none"/>
        </w:rPr>
        <w:t>复印件；</w:t>
      </w:r>
    </w:p>
    <w:p>
      <w:pPr>
        <w:pStyle w:val="2"/>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hint="eastAsia" w:ascii="Times New Roman" w:hAnsi="Times New Roman" w:eastAsia="仿宋_GB2312"/>
          <w:sz w:val="32"/>
          <w:szCs w:val="32"/>
          <w:highlight w:val="none"/>
          <w:lang w:val="en-US" w:eastAsia="zh-CN"/>
        </w:rPr>
      </w:pP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5</w:t>
      </w:r>
      <w:r>
        <w:rPr>
          <w:rFonts w:ascii="Times New Roman" w:hAnsi="Times New Roman" w:eastAsia="仿宋_GB2312"/>
          <w:sz w:val="32"/>
          <w:szCs w:val="32"/>
          <w:highlight w:val="none"/>
        </w:rPr>
        <w:t>）</w:t>
      </w:r>
      <w:r>
        <w:rPr>
          <w:rFonts w:hint="default" w:ascii="Times New Roman" w:hAnsi="Times New Roman" w:eastAsia="仿宋_GB2312"/>
          <w:sz w:val="32"/>
          <w:szCs w:val="32"/>
          <w:highlight w:val="none"/>
        </w:rPr>
        <w:t>境外投资购付汇登记凭证</w:t>
      </w:r>
      <w:r>
        <w:rPr>
          <w:rFonts w:hint="eastAsia" w:ascii="Times New Roman" w:hAnsi="Times New Roman" w:eastAsia="仿宋_GB2312"/>
          <w:sz w:val="32"/>
          <w:szCs w:val="32"/>
          <w:highlight w:val="none"/>
          <w:lang w:val="en-US" w:eastAsia="zh-CN"/>
        </w:rPr>
        <w:t>复印件；</w:t>
      </w:r>
    </w:p>
    <w:p>
      <w:pPr>
        <w:pStyle w:val="2"/>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（6）</w:t>
      </w:r>
      <w:r>
        <w:rPr>
          <w:rFonts w:hint="eastAsia" w:ascii="Times New Roman" w:hAnsi="Times New Roman" w:eastAsia="仿宋_GB2312"/>
          <w:sz w:val="32"/>
          <w:szCs w:val="32"/>
          <w:highlight w:val="none"/>
        </w:rPr>
        <w:t>资金汇出证明</w:t>
      </w:r>
      <w:r>
        <w:rPr>
          <w:rFonts w:hint="eastAsia" w:ascii="Times New Roman" w:hAnsi="Times New Roman" w:eastAsia="仿宋_GB2312"/>
          <w:sz w:val="32"/>
          <w:szCs w:val="32"/>
          <w:highlight w:val="none"/>
          <w:lang w:eastAsia="zh-CN"/>
        </w:rPr>
        <w:t>材料</w:t>
      </w:r>
      <w:r>
        <w:rPr>
          <w:rFonts w:hint="eastAsia" w:ascii="Times New Roman" w:hAnsi="Times New Roman" w:eastAsia="仿宋_GB2312"/>
          <w:sz w:val="32"/>
          <w:szCs w:val="32"/>
          <w:highlight w:val="none"/>
        </w:rPr>
        <w:t>。用资金进行境外投资的</w:t>
      </w:r>
      <w:r>
        <w:rPr>
          <w:rFonts w:hint="eastAsia" w:ascii="Times New Roman" w:hAnsi="Times New Roman" w:eastAsia="仿宋_GB2312"/>
          <w:sz w:val="32"/>
          <w:szCs w:val="32"/>
          <w:highlight w:val="none"/>
          <w:lang w:eastAsia="zh-CN"/>
        </w:rPr>
        <w:t>企业</w:t>
      </w:r>
      <w:r>
        <w:rPr>
          <w:rFonts w:hint="eastAsia" w:ascii="Times New Roman" w:hAnsi="Times New Roman" w:eastAsia="仿宋_GB2312"/>
          <w:sz w:val="32"/>
          <w:szCs w:val="32"/>
          <w:highlight w:val="none"/>
        </w:rPr>
        <w:t>需提供汇出投资款时的银行对账单，并加盖经办银行红章和业务经办人签章。采用在当地或第三国融资、企业内部从第三国调动资金等方式的，可不提供外汇核准文件和资金汇出证明，但须</w:t>
      </w:r>
      <w:r>
        <w:rPr>
          <w:rFonts w:hint="eastAsia" w:ascii="Times New Roman" w:hAnsi="Times New Roman" w:eastAsia="仿宋_GB2312"/>
          <w:sz w:val="32"/>
          <w:szCs w:val="32"/>
          <w:highlight w:val="none"/>
          <w:lang w:eastAsia="zh-CN"/>
        </w:rPr>
        <w:t>提供</w:t>
      </w:r>
      <w:r>
        <w:rPr>
          <w:rFonts w:hint="eastAsia" w:ascii="Times New Roman" w:hAnsi="Times New Roman" w:eastAsia="仿宋_GB2312"/>
          <w:sz w:val="32"/>
          <w:szCs w:val="32"/>
          <w:highlight w:val="none"/>
        </w:rPr>
        <w:t>外汇管理局对申请企业境外投资资金来源的批复文件</w:t>
      </w:r>
      <w:r>
        <w:rPr>
          <w:rFonts w:hint="eastAsia" w:ascii="Times New Roman" w:hAnsi="Times New Roman" w:eastAsia="仿宋_GB2312"/>
          <w:sz w:val="32"/>
          <w:szCs w:val="32"/>
          <w:highlight w:val="none"/>
          <w:lang w:eastAsia="zh-CN"/>
        </w:rPr>
        <w:t>；</w:t>
      </w:r>
    </w:p>
    <w:p>
      <w:pPr>
        <w:pStyle w:val="2"/>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7</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商务部业务系统统一平台对外投资合作信息服务系统当年数据截图</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3"/>
        <w:rPr>
          <w:rFonts w:eastAsia="仿宋_GB2312"/>
          <w:sz w:val="32"/>
          <w:szCs w:val="32"/>
        </w:rPr>
      </w:pPr>
      <w:r>
        <w:rPr>
          <w:rFonts w:eastAsia="仿宋_GB2312"/>
          <w:sz w:val="32"/>
          <w:szCs w:val="32"/>
        </w:rPr>
        <w:t>（</w:t>
      </w:r>
      <w:r>
        <w:rPr>
          <w:rFonts w:hint="eastAsia" w:eastAsia="仿宋_GB2312"/>
          <w:sz w:val="32"/>
          <w:szCs w:val="32"/>
          <w:lang w:val="en-US" w:eastAsia="zh-CN"/>
        </w:rPr>
        <w:t>8</w:t>
      </w:r>
      <w:r>
        <w:rPr>
          <w:rFonts w:eastAsia="仿宋_GB2312"/>
          <w:sz w:val="32"/>
          <w:szCs w:val="32"/>
        </w:rPr>
        <w:t>）税务主管部门出具的企业当年度纳税证明复印件；</w:t>
      </w:r>
    </w:p>
    <w:p>
      <w:pPr>
        <w:keepNext w:val="0"/>
        <w:keepLines w:val="0"/>
        <w:pageBreakBefore w:val="0"/>
        <w:kinsoku/>
        <w:wordWrap/>
        <w:overflowPunct/>
        <w:topLinePunct w:val="0"/>
        <w:autoSpaceDE/>
        <w:autoSpaceDN/>
        <w:bidi w:val="0"/>
        <w:adjustRightInd/>
        <w:spacing w:line="560" w:lineRule="exact"/>
        <w:ind w:firstLine="633" w:firstLineChars="198"/>
        <w:textAlignment w:val="auto"/>
        <w:outlineLvl w:val="3"/>
        <w:rPr>
          <w:rFonts w:eastAsia="仿宋_GB2312"/>
          <w:sz w:val="32"/>
          <w:szCs w:val="32"/>
        </w:rPr>
      </w:pPr>
      <w:r>
        <w:rPr>
          <w:rFonts w:eastAsia="仿宋_GB2312"/>
          <w:sz w:val="32"/>
          <w:szCs w:val="32"/>
        </w:rPr>
        <w:t>（</w:t>
      </w:r>
      <w:r>
        <w:rPr>
          <w:rFonts w:hint="eastAsia" w:eastAsia="仿宋_GB2312"/>
          <w:sz w:val="32"/>
          <w:szCs w:val="32"/>
          <w:lang w:val="en-US" w:eastAsia="zh-CN"/>
        </w:rPr>
        <w:t>9</w:t>
      </w:r>
      <w:r>
        <w:rPr>
          <w:rFonts w:eastAsia="仿宋_GB2312"/>
          <w:sz w:val="32"/>
          <w:szCs w:val="32"/>
        </w:rPr>
        <w:t>）当年度审计报告或财务报表；</w:t>
      </w:r>
    </w:p>
    <w:p>
      <w:pPr>
        <w:pStyle w:val="2"/>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ascii="Times New Roman" w:hAnsi="Times New Roman"/>
        </w:rPr>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10</w:t>
      </w:r>
      <w:r>
        <w:rPr>
          <w:rFonts w:ascii="Times New Roman" w:hAnsi="Times New Roman" w:eastAsia="仿宋_GB2312"/>
          <w:sz w:val="32"/>
          <w:szCs w:val="32"/>
        </w:rPr>
        <w:t>）在“信用中国”下载的企业信用信息报告证明。</w:t>
      </w:r>
    </w:p>
    <w:p>
      <w:pPr>
        <w:keepNext w:val="0"/>
        <w:keepLines w:val="0"/>
        <w:pageBreakBefore w:val="0"/>
        <w:kinsoku/>
        <w:wordWrap/>
        <w:overflowPunct/>
        <w:topLinePunct w:val="0"/>
        <w:autoSpaceDE/>
        <w:autoSpaceDN/>
        <w:bidi w:val="0"/>
        <w:adjustRightInd/>
        <w:spacing w:line="560" w:lineRule="exact"/>
        <w:ind w:firstLine="636" w:firstLineChars="198"/>
        <w:textAlignment w:val="auto"/>
        <w:outlineLvl w:val="4"/>
        <w:rPr>
          <w:rFonts w:hint="eastAsia" w:ascii="Times New Roman" w:hAnsi="Times New Roman" w:eastAsia="仿宋_GB2312" w:cs="Times New Roman"/>
          <w:b/>
          <w:bCs/>
          <w:sz w:val="32"/>
          <w:szCs w:val="32"/>
        </w:rPr>
      </w:pPr>
      <w:r>
        <w:rPr>
          <w:rFonts w:hint="eastAsia" w:eastAsia="仿宋_GB2312"/>
          <w:b/>
          <w:bCs/>
          <w:sz w:val="32"/>
          <w:szCs w:val="32"/>
        </w:rPr>
        <w:t>以上所有项</w:t>
      </w:r>
      <w:r>
        <w:rPr>
          <w:rFonts w:hint="eastAsia" w:ascii="Times New Roman" w:hAnsi="Times New Roman" w:eastAsia="仿宋_GB2312" w:cs="Times New Roman"/>
          <w:b/>
          <w:bCs/>
          <w:sz w:val="32"/>
          <w:szCs w:val="32"/>
        </w:rPr>
        <w:t>目，</w:t>
      </w:r>
      <w:r>
        <w:rPr>
          <w:rFonts w:hint="eastAsia" w:ascii="Times New Roman" w:hAnsi="Times New Roman" w:eastAsia="仿宋_GB2312" w:cs="Times New Roman"/>
          <w:b/>
          <w:bCs/>
          <w:color w:val="auto"/>
          <w:sz w:val="32"/>
          <w:szCs w:val="32"/>
          <w:shd w:val="clear" w:color="auto" w:fill="auto"/>
        </w:rPr>
        <w:t>以外币为计算单位发生的费用支出（展位费等），按费用支出凭证发生日中国人民银行公布的银行外汇卖出价，折算人民币。</w:t>
      </w:r>
    </w:p>
    <w:p>
      <w:pPr>
        <w:pStyle w:val="10"/>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textAlignment w:val="auto"/>
        <w:outlineLvl w:val="0"/>
        <w:rPr>
          <w:rFonts w:ascii="Times New Roman" w:hAnsi="Times New Roman" w:eastAsia="黑体" w:cs="Times New Roman"/>
          <w:bCs/>
          <w:color w:val="auto"/>
          <w:sz w:val="32"/>
          <w:szCs w:val="32"/>
        </w:rPr>
      </w:pPr>
      <w:r>
        <w:rPr>
          <w:rFonts w:ascii="Times New Roman" w:hAnsi="Times New Roman" w:eastAsia="黑体" w:cs="Times New Roman"/>
          <w:bCs/>
          <w:color w:val="auto"/>
          <w:sz w:val="32"/>
          <w:szCs w:val="32"/>
        </w:rPr>
        <w:t>三、申报受理</w:t>
      </w:r>
    </w:p>
    <w:p>
      <w:pPr>
        <w:pStyle w:val="10"/>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textAlignment w:val="auto"/>
        <w:outlineLvl w:val="1"/>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（一）受理机关</w:t>
      </w:r>
    </w:p>
    <w:p>
      <w:pPr>
        <w:keepNext w:val="0"/>
        <w:keepLines w:val="0"/>
        <w:pageBreakBefore w:val="0"/>
        <w:kinsoku/>
        <w:wordWrap/>
        <w:overflowPunct/>
        <w:topLinePunct w:val="0"/>
        <w:autoSpaceDE/>
        <w:autoSpaceDN/>
        <w:bidi w:val="0"/>
        <w:adjustRightInd/>
        <w:spacing w:line="560" w:lineRule="exact"/>
        <w:ind w:firstLine="642" w:firstLineChars="200"/>
        <w:textAlignment w:val="auto"/>
        <w:outlineLvl w:val="2"/>
        <w:rPr>
          <w:rFonts w:eastAsia="仿宋_GB2312"/>
          <w:b/>
          <w:sz w:val="32"/>
        </w:rPr>
      </w:pPr>
      <w:r>
        <w:rPr>
          <w:rFonts w:eastAsia="仿宋_GB2312"/>
          <w:b/>
          <w:sz w:val="32"/>
        </w:rPr>
        <w:t>1.受理部门</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eastAsia="仿宋_GB2312"/>
          <w:sz w:val="32"/>
        </w:rPr>
      </w:pPr>
      <w:r>
        <w:rPr>
          <w:rFonts w:eastAsia="仿宋_GB2312"/>
          <w:sz w:val="32"/>
        </w:rPr>
        <w:t>北京市平谷区商务局</w:t>
      </w:r>
    </w:p>
    <w:p>
      <w:pPr>
        <w:keepNext w:val="0"/>
        <w:keepLines w:val="0"/>
        <w:pageBreakBefore w:val="0"/>
        <w:kinsoku/>
        <w:wordWrap/>
        <w:overflowPunct/>
        <w:topLinePunct w:val="0"/>
        <w:autoSpaceDE/>
        <w:autoSpaceDN/>
        <w:bidi w:val="0"/>
        <w:adjustRightInd/>
        <w:spacing w:line="560" w:lineRule="exact"/>
        <w:ind w:firstLine="642" w:firstLineChars="200"/>
        <w:textAlignment w:val="auto"/>
        <w:outlineLvl w:val="2"/>
        <w:rPr>
          <w:rFonts w:eastAsia="仿宋_GB2312"/>
          <w:b/>
          <w:sz w:val="32"/>
          <w:szCs w:val="32"/>
        </w:rPr>
      </w:pPr>
      <w:r>
        <w:rPr>
          <w:rFonts w:eastAsia="仿宋_GB2312"/>
          <w:b/>
          <w:sz w:val="32"/>
        </w:rPr>
        <w:t>2.受理</w:t>
      </w:r>
      <w:r>
        <w:rPr>
          <w:rFonts w:eastAsia="仿宋_GB2312"/>
          <w:b/>
          <w:sz w:val="32"/>
          <w:szCs w:val="32"/>
        </w:rPr>
        <w:t>地点</w:t>
      </w:r>
    </w:p>
    <w:p>
      <w:pPr>
        <w:keepNext w:val="0"/>
        <w:keepLines w:val="0"/>
        <w:pageBreakBefore w:val="0"/>
        <w:kinsoku/>
        <w:wordWrap/>
        <w:overflowPunct/>
        <w:topLinePunct w:val="0"/>
        <w:autoSpaceDE/>
        <w:autoSpaceDN/>
        <w:bidi w:val="0"/>
        <w:adjustRightInd/>
        <w:spacing w:line="560" w:lineRule="exact"/>
        <w:ind w:firstLine="633" w:firstLineChars="198"/>
        <w:textAlignment w:val="auto"/>
        <w:rPr>
          <w:rFonts w:eastAsia="仿宋_GB2312"/>
          <w:sz w:val="32"/>
          <w:szCs w:val="32"/>
        </w:rPr>
      </w:pPr>
      <w:r>
        <w:rPr>
          <w:rFonts w:eastAsia="仿宋_GB2312"/>
          <w:sz w:val="32"/>
          <w:szCs w:val="32"/>
        </w:rPr>
        <w:t>北京市平谷区府前西街17号</w:t>
      </w:r>
      <w:r>
        <w:rPr>
          <w:rFonts w:hint="eastAsia" w:eastAsia="仿宋_GB2312"/>
          <w:sz w:val="32"/>
          <w:szCs w:val="32"/>
        </w:rPr>
        <w:t>社会服务中心623</w:t>
      </w:r>
    </w:p>
    <w:p>
      <w:pPr>
        <w:keepNext w:val="0"/>
        <w:keepLines w:val="0"/>
        <w:pageBreakBefore w:val="0"/>
        <w:kinsoku/>
        <w:wordWrap/>
        <w:overflowPunct/>
        <w:topLinePunct w:val="0"/>
        <w:autoSpaceDE/>
        <w:autoSpaceDN/>
        <w:bidi w:val="0"/>
        <w:adjustRightInd/>
        <w:spacing w:line="560" w:lineRule="exact"/>
        <w:ind w:firstLine="642" w:firstLineChars="200"/>
        <w:textAlignment w:val="auto"/>
        <w:outlineLvl w:val="2"/>
        <w:rPr>
          <w:rFonts w:eastAsia="仿宋_GB2312"/>
          <w:b/>
          <w:kern w:val="0"/>
          <w:sz w:val="32"/>
          <w:szCs w:val="32"/>
        </w:rPr>
      </w:pPr>
      <w:r>
        <w:rPr>
          <w:rFonts w:hint="eastAsia" w:eastAsia="仿宋_GB2312"/>
          <w:b/>
          <w:sz w:val="32"/>
        </w:rPr>
        <w:t>3</w:t>
      </w:r>
      <w:r>
        <w:rPr>
          <w:rFonts w:eastAsia="仿宋_GB2312"/>
          <w:b/>
          <w:sz w:val="32"/>
        </w:rPr>
        <w:t>.联系方式</w:t>
      </w:r>
    </w:p>
    <w:p>
      <w:pPr>
        <w:keepNext w:val="0"/>
        <w:keepLines w:val="0"/>
        <w:pageBreakBefore w:val="0"/>
        <w:kinsoku/>
        <w:wordWrap/>
        <w:overflowPunct/>
        <w:topLinePunct w:val="0"/>
        <w:autoSpaceDE/>
        <w:autoSpaceDN/>
        <w:bidi w:val="0"/>
        <w:adjustRightInd/>
        <w:spacing w:line="560" w:lineRule="exact"/>
        <w:ind w:firstLine="633" w:firstLineChars="198"/>
        <w:textAlignment w:val="auto"/>
        <w:rPr>
          <w:rFonts w:eastAsia="仿宋_GB2312"/>
          <w:sz w:val="32"/>
        </w:rPr>
      </w:pPr>
      <w:r>
        <w:rPr>
          <w:rFonts w:eastAsia="仿宋_GB2312"/>
          <w:sz w:val="32"/>
        </w:rPr>
        <w:t>联系电话：</w:t>
      </w:r>
      <w:r>
        <w:rPr>
          <w:rFonts w:hint="eastAsia" w:eastAsia="仿宋_GB2312"/>
          <w:sz w:val="32"/>
        </w:rPr>
        <w:t>69962887</w:t>
      </w:r>
    </w:p>
    <w:p>
      <w:pPr>
        <w:keepNext w:val="0"/>
        <w:keepLines w:val="0"/>
        <w:pageBreakBefore w:val="0"/>
        <w:kinsoku/>
        <w:wordWrap/>
        <w:overflowPunct/>
        <w:topLinePunct w:val="0"/>
        <w:autoSpaceDE/>
        <w:autoSpaceDN/>
        <w:bidi w:val="0"/>
        <w:adjustRightInd/>
        <w:spacing w:line="560" w:lineRule="exact"/>
        <w:ind w:firstLine="633" w:firstLineChars="198"/>
        <w:textAlignment w:val="auto"/>
        <w:rPr>
          <w:rFonts w:eastAsia="仿宋_GB2312"/>
          <w:sz w:val="32"/>
        </w:rPr>
      </w:pPr>
      <w:r>
        <w:rPr>
          <w:rFonts w:eastAsia="仿宋_GB2312"/>
          <w:sz w:val="32"/>
        </w:rPr>
        <w:t>邮箱：</w:t>
      </w:r>
      <w:r>
        <w:rPr>
          <w:rFonts w:hint="eastAsia" w:eastAsia="仿宋_GB2312"/>
          <w:sz w:val="32"/>
        </w:rPr>
        <w:t>swwwaiziwaimaoguanlike@bjpg.gov.cn</w:t>
      </w:r>
    </w:p>
    <w:p>
      <w:pPr>
        <w:pStyle w:val="10"/>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textAlignment w:val="auto"/>
        <w:outlineLvl w:val="1"/>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（二）提交材料要求</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eastAsia="仿宋_GB2312"/>
          <w:sz w:val="32"/>
          <w:lang w:val="en"/>
        </w:rPr>
      </w:pPr>
      <w:r>
        <w:rPr>
          <w:rFonts w:hint="default" w:eastAsia="仿宋_GB2312"/>
          <w:sz w:val="32"/>
          <w:lang w:val="en"/>
        </w:rPr>
        <w:t>1.京策平台初审通过后需提交一式三份纸质版材料;</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eastAsia="仿宋_GB2312"/>
          <w:sz w:val="32"/>
          <w:lang w:val="en"/>
        </w:rPr>
      </w:pPr>
      <w:r>
        <w:rPr>
          <w:rFonts w:hint="default" w:eastAsia="仿宋_GB2312"/>
          <w:sz w:val="32"/>
          <w:lang w:val="en"/>
        </w:rPr>
        <w:t>2.资质材料需编制封面及目录，封面参考附件2模板，目录按照各政策申报材料顺序编写。纸质材料需用A4纸打印，装订线在左侧，装订成册（胶装）；</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eastAsia="仿宋_GB2312"/>
          <w:sz w:val="32"/>
          <w:lang w:val="en"/>
        </w:rPr>
      </w:pPr>
      <w:r>
        <w:rPr>
          <w:rFonts w:hint="default" w:eastAsia="仿宋_GB2312"/>
          <w:sz w:val="32"/>
          <w:lang w:val="en"/>
        </w:rPr>
        <w:t>3.每页材料及骑缝处均需加盖公章。</w:t>
      </w:r>
    </w:p>
    <w:p>
      <w:pPr>
        <w:spacing w:line="560" w:lineRule="exact"/>
        <w:ind w:firstLine="640" w:firstLineChars="200"/>
        <w:rPr>
          <w:rFonts w:hint="default" w:ascii="Times New Roman" w:hAnsi="Times New Roman" w:eastAsia="楷体_GB2312" w:cs="Times New Roman"/>
          <w:color w:val="auto"/>
          <w:sz w:val="32"/>
          <w:szCs w:val="32"/>
          <w:lang w:val="en"/>
        </w:rPr>
      </w:pPr>
      <w:r>
        <w:rPr>
          <w:rFonts w:hint="default" w:ascii="Times New Roman" w:hAnsi="Times New Roman" w:eastAsia="楷体_GB2312" w:cs="Times New Roman"/>
          <w:color w:val="auto"/>
          <w:sz w:val="32"/>
          <w:szCs w:val="32"/>
          <w:lang w:val="en"/>
        </w:rPr>
        <w:t>（三）办理程序</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eastAsia="仿宋_GB2312"/>
          <w:sz w:val="32"/>
          <w:lang w:val="en"/>
        </w:rPr>
      </w:pPr>
      <w:r>
        <w:rPr>
          <w:rFonts w:hint="default" w:eastAsia="仿宋_GB2312"/>
          <w:sz w:val="32"/>
          <w:lang w:val="en"/>
        </w:rPr>
        <w:t>1.申报单位准备申请材料。申报的项目计划应为2024年1月1日-12月31日已经实施完成的项目，请各申报单位于2025年6月15日17:00前登录北京市人民政府门户网站“政策兑现”栏目（https://zhengce.beijing.gov.cn ）选择相对应的项目进行申报，在系统提交电子版（pdf盖章）材料。</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eastAsia="仿宋_GB2312"/>
          <w:sz w:val="32"/>
          <w:lang w:val="en"/>
        </w:rPr>
      </w:pPr>
      <w:r>
        <w:rPr>
          <w:rFonts w:hint="default" w:eastAsia="仿宋_GB2312"/>
          <w:sz w:val="32"/>
          <w:lang w:val="en"/>
        </w:rPr>
        <w:t>2.区商务局业务科室进行申报材料初审。资料不齐全的，指导和释明后退回，并一次性告知需要补充的资料，申报单位应在收到告知后5个工作日内补充申报材料，逾期视为放弃申报。</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eastAsia="仿宋_GB2312"/>
          <w:sz w:val="32"/>
          <w:lang w:val="en"/>
        </w:rPr>
      </w:pPr>
      <w:r>
        <w:rPr>
          <w:rFonts w:hint="default" w:eastAsia="仿宋_GB2312"/>
          <w:sz w:val="32"/>
          <w:lang w:val="en"/>
        </w:rPr>
        <w:t>3.平谷区商务局核准后向区财政局申请专项政策资金并及时拨付。</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0"/>
        <w:rPr>
          <w:rFonts w:eastAsia="黑体"/>
          <w:sz w:val="32"/>
        </w:rPr>
      </w:pPr>
      <w:bookmarkStart w:id="8" w:name="_GoBack"/>
      <w:bookmarkEnd w:id="8"/>
      <w:r>
        <w:rPr>
          <w:rFonts w:eastAsia="黑体"/>
          <w:sz w:val="32"/>
        </w:rPr>
        <w:t>四、有关申报说明</w:t>
      </w:r>
    </w:p>
    <w:p>
      <w:pPr>
        <w:pStyle w:val="10"/>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textAlignment w:val="auto"/>
        <w:outlineLvl w:val="1"/>
        <w:rPr>
          <w:rFonts w:ascii="Times New Roman" w:hAnsi="Times New Roman" w:eastAsia="仿宋_GB2312" w:cs="Times New Roman"/>
          <w:color w:val="auto"/>
          <w:sz w:val="32"/>
          <w:szCs w:val="32"/>
        </w:rPr>
      </w:pPr>
      <w:r>
        <w:rPr>
          <w:rFonts w:ascii="Times New Roman" w:hAnsi="Times New Roman" w:eastAsia="楷体_GB2312" w:cs="Times New Roman"/>
          <w:color w:val="auto"/>
          <w:kern w:val="2"/>
          <w:sz w:val="32"/>
          <w:szCs w:val="21"/>
        </w:rPr>
        <w:t>（一）监督检查。</w:t>
      </w:r>
      <w:r>
        <w:rPr>
          <w:rFonts w:ascii="Times New Roman" w:hAnsi="Times New Roman" w:eastAsia="仿宋_GB2312" w:cs="Times New Roman"/>
          <w:color w:val="auto"/>
          <w:sz w:val="32"/>
          <w:szCs w:val="32"/>
        </w:rPr>
        <w:t xml:space="preserve">申报主体应如实申报、提交材料，并自觉接受区商务局、区财政局和审计等部门的监督检查，配合有关部门监督检查工作。如发现弄虚作假，采取不正当的手段骗取外经贸发展专项资金的，将依法依规追回资金，并取消下一年申请资格。如构成犯罪的，移交司法部门处理。 </w:t>
      </w:r>
    </w:p>
    <w:p>
      <w:pPr>
        <w:pStyle w:val="10"/>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textAlignment w:val="auto"/>
        <w:outlineLvl w:val="1"/>
        <w:rPr>
          <w:rFonts w:ascii="Times New Roman" w:hAnsi="Times New Roman" w:eastAsia="仿宋_GB2312" w:cs="Times New Roman"/>
          <w:sz w:val="32"/>
          <w:szCs w:val="32"/>
        </w:rPr>
      </w:pPr>
      <w:r>
        <w:rPr>
          <w:rFonts w:ascii="Times New Roman" w:hAnsi="Times New Roman" w:eastAsia="楷体_GB2312" w:cs="Times New Roman"/>
          <w:sz w:val="32"/>
        </w:rPr>
        <w:t>（二）资金管理。</w:t>
      </w:r>
      <w:r>
        <w:rPr>
          <w:rFonts w:ascii="Times New Roman" w:hAnsi="Times New Roman" w:eastAsia="仿宋_GB2312" w:cs="Times New Roman"/>
          <w:sz w:val="32"/>
          <w:szCs w:val="32"/>
        </w:rPr>
        <w:t>获得支持资金的申报主体须按国家相关会计制度、财政资金管理要求进行账务处理。</w:t>
      </w:r>
    </w:p>
    <w:p>
      <w:pPr>
        <w:pStyle w:val="10"/>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textAlignment w:val="auto"/>
        <w:outlineLvl w:val="1"/>
        <w:rPr>
          <w:rFonts w:ascii="Times New Roman" w:hAnsi="Times New Roman" w:eastAsia="仿宋_GB2312" w:cs="Times New Roman"/>
          <w:sz w:val="32"/>
          <w:szCs w:val="32"/>
        </w:rPr>
        <w:sectPr>
          <w:footerReference r:id="rId4" w:type="default"/>
          <w:pgSz w:w="11906" w:h="16838"/>
          <w:pgMar w:top="1440" w:right="1800" w:bottom="1440" w:left="1800" w:header="851" w:footer="992" w:gutter="0"/>
          <w:cols w:space="425" w:num="1"/>
          <w:docGrid w:type="lines" w:linePitch="312" w:charSpace="0"/>
        </w:sectPr>
      </w:pPr>
      <w:r>
        <w:rPr>
          <w:rFonts w:ascii="Times New Roman" w:hAnsi="Times New Roman" w:eastAsia="楷体_GB2312" w:cs="Times New Roman"/>
          <w:kern w:val="2"/>
          <w:sz w:val="32"/>
          <w:szCs w:val="21"/>
        </w:rPr>
        <w:t>（三）补贴额度。</w:t>
      </w:r>
      <w:r>
        <w:rPr>
          <w:rFonts w:ascii="Times New Roman" w:hAnsi="Times New Roman" w:eastAsia="仿宋_GB2312" w:cs="Times New Roman"/>
          <w:sz w:val="32"/>
          <w:szCs w:val="32"/>
        </w:rPr>
        <w:t>同一主体因同一事由符合平谷区其他政策支持条件的，</w:t>
      </w:r>
      <w:r>
        <w:rPr>
          <w:rFonts w:ascii="Times New Roman" w:hAnsi="Times New Roman" w:eastAsia="仿宋_GB2312" w:cs="Times New Roman"/>
          <w:color w:val="auto"/>
          <w:sz w:val="32"/>
          <w:szCs w:val="32"/>
        </w:rPr>
        <w:t>按就高不就低的原则执行。</w:t>
      </w:r>
    </w:p>
    <w:p>
      <w:pPr>
        <w:spacing w:line="360" w:lineRule="auto"/>
        <w:outlineLvl w:val="0"/>
        <w:rPr>
          <w:rFonts w:ascii="Times New Roman" w:hAnsi="Times New Roman" w:eastAsia="黑体" w:cs="Times New Roman"/>
          <w:sz w:val="32"/>
          <w:szCs w:val="22"/>
        </w:rPr>
      </w:pPr>
      <w:r>
        <w:rPr>
          <w:rFonts w:hint="default" w:ascii="Times New Roman" w:hAnsi="Times New Roman" w:eastAsia="黑体" w:cs="Times New Roman"/>
          <w:sz w:val="32"/>
          <w:szCs w:val="22"/>
        </w:rPr>
        <w:t>附件1</w:t>
      </w:r>
    </w:p>
    <w:p>
      <w:pPr>
        <w:pStyle w:val="10"/>
        <w:snapToGrid w:val="0"/>
        <w:spacing w:before="0" w:beforeAutospacing="0" w:after="0" w:afterAutospacing="0" w:line="480" w:lineRule="exact"/>
        <w:jc w:val="center"/>
        <w:outlineLvl w:val="0"/>
        <w:rPr>
          <w:rFonts w:ascii="Times New Roman" w:hAnsi="Times New Roman" w:eastAsia="黑体" w:cs="Times New Roman"/>
          <w:bCs/>
          <w:sz w:val="44"/>
          <w:szCs w:val="44"/>
        </w:rPr>
      </w:pPr>
      <w:r>
        <w:rPr>
          <w:rFonts w:ascii="Times New Roman" w:hAnsi="Times New Roman" w:eastAsia="黑体" w:cs="Times New Roman"/>
          <w:bCs/>
          <w:sz w:val="44"/>
          <w:szCs w:val="44"/>
        </w:rPr>
        <w:t>北京市平谷区</w:t>
      </w:r>
      <w:r>
        <w:rPr>
          <w:rFonts w:hint="eastAsia" w:ascii="Times New Roman" w:hAnsi="Times New Roman" w:eastAsia="黑体" w:cs="Times New Roman"/>
          <w:bCs/>
          <w:sz w:val="44"/>
          <w:szCs w:val="44"/>
        </w:rPr>
        <w:t>扩大对外开放</w:t>
      </w:r>
    </w:p>
    <w:p>
      <w:pPr>
        <w:pStyle w:val="10"/>
        <w:snapToGrid w:val="0"/>
        <w:spacing w:before="0" w:beforeAutospacing="0" w:after="0" w:afterAutospacing="0" w:line="480" w:lineRule="exact"/>
        <w:jc w:val="center"/>
        <w:rPr>
          <w:rFonts w:ascii="Times New Roman" w:hAnsi="Times New Roman" w:eastAsia="黑体" w:cs="Times New Roman"/>
          <w:bCs/>
          <w:sz w:val="44"/>
          <w:szCs w:val="44"/>
        </w:rPr>
      </w:pPr>
      <w:r>
        <w:rPr>
          <w:rFonts w:hint="eastAsia" w:ascii="Times New Roman" w:hAnsi="Times New Roman" w:eastAsia="黑体" w:cs="Times New Roman"/>
          <w:bCs/>
          <w:sz w:val="44"/>
          <w:szCs w:val="44"/>
        </w:rPr>
        <w:t>提高外资外贸发展水平</w:t>
      </w:r>
      <w:r>
        <w:rPr>
          <w:rFonts w:ascii="Times New Roman" w:hAnsi="Times New Roman" w:eastAsia="黑体" w:cs="Times New Roman"/>
          <w:bCs/>
          <w:sz w:val="44"/>
          <w:szCs w:val="44"/>
        </w:rPr>
        <w:t>扶持办法</w:t>
      </w:r>
    </w:p>
    <w:p>
      <w:pPr>
        <w:pStyle w:val="10"/>
        <w:snapToGrid w:val="0"/>
        <w:spacing w:before="0" w:beforeAutospacing="0" w:after="0" w:afterAutospacing="0" w:line="480" w:lineRule="exact"/>
        <w:jc w:val="center"/>
        <w:rPr>
          <w:rFonts w:ascii="Times New Roman" w:hAnsi="Times New Roman" w:eastAsia="黑体" w:cs="Times New Roman"/>
          <w:bCs/>
          <w:color w:val="000000" w:themeColor="text1"/>
          <w:sz w:val="44"/>
          <w:szCs w:val="44"/>
          <w14:textFill>
            <w14:solidFill>
              <w14:schemeClr w14:val="tx1"/>
            </w14:solidFill>
          </w14:textFill>
        </w:rPr>
      </w:pPr>
    </w:p>
    <w:p>
      <w:pPr>
        <w:pStyle w:val="10"/>
        <w:snapToGrid w:val="0"/>
        <w:spacing w:before="0" w:beforeAutospacing="0" w:after="0" w:afterAutospacing="0" w:line="480" w:lineRule="exact"/>
        <w:jc w:val="center"/>
        <w:outlineLvl w:val="9"/>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第一章</w:t>
      </w:r>
      <w:r>
        <w:rPr>
          <w:rFonts w:ascii="Times New Roman" w:hAnsi="Times New Roman" w:eastAsia="黑体" w:cs="Times New Roman"/>
          <w:color w:val="000000" w:themeColor="text1"/>
          <w:sz w:val="32"/>
          <w:szCs w:val="32"/>
          <w14:textFill>
            <w14:solidFill>
              <w14:schemeClr w14:val="tx1"/>
            </w14:solidFill>
          </w14:textFill>
        </w:rPr>
        <w:t xml:space="preserve"> </w:t>
      </w:r>
      <w:r>
        <w:rPr>
          <w:rFonts w:hint="eastAsia" w:ascii="Times New Roman" w:hAnsi="Times New Roman" w:eastAsia="黑体" w:cs="Times New Roman"/>
          <w:color w:val="000000" w:themeColor="text1"/>
          <w:sz w:val="32"/>
          <w:szCs w:val="32"/>
          <w14:textFill>
            <w14:solidFill>
              <w14:schemeClr w14:val="tx1"/>
            </w14:solidFill>
          </w14:textFill>
        </w:rPr>
        <w:t>总</w:t>
      </w:r>
      <w:r>
        <w:rPr>
          <w:rFonts w:ascii="Times New Roman" w:hAnsi="Times New Roman" w:eastAsia="黑体" w:cs="Times New Roman"/>
          <w:color w:val="000000" w:themeColor="text1"/>
          <w:sz w:val="32"/>
          <w:szCs w:val="32"/>
          <w14:textFill>
            <w14:solidFill>
              <w14:schemeClr w14:val="tx1"/>
            </w14:solidFill>
          </w14:textFill>
        </w:rPr>
        <w:t xml:space="preserve"> </w:t>
      </w:r>
      <w:r>
        <w:rPr>
          <w:rFonts w:hint="eastAsia" w:ascii="Times New Roman" w:hAnsi="Times New Roman" w:eastAsia="黑体" w:cs="Times New Roman"/>
          <w:color w:val="000000" w:themeColor="text1"/>
          <w:sz w:val="32"/>
          <w:szCs w:val="32"/>
          <w14:textFill>
            <w14:solidFill>
              <w14:schemeClr w14:val="tx1"/>
            </w14:solidFill>
          </w14:textFill>
        </w:rPr>
        <w:t>则</w:t>
      </w:r>
    </w:p>
    <w:p>
      <w:pPr>
        <w:snapToGrid w:val="0"/>
        <w:spacing w:line="480" w:lineRule="exact"/>
        <w:ind w:firstLine="642" w:firstLineChars="200"/>
        <w:outlineLvl w:val="9"/>
        <w:rPr>
          <w:rFonts w:eastAsia="仿宋_GB2312"/>
          <w:b/>
          <w:color w:val="000000" w:themeColor="text1"/>
          <w:sz w:val="32"/>
          <w:szCs w:val="32"/>
          <w14:textFill>
            <w14:solidFill>
              <w14:schemeClr w14:val="tx1"/>
            </w14:solidFill>
          </w14:textFill>
        </w:rPr>
      </w:pPr>
    </w:p>
    <w:p>
      <w:pPr>
        <w:snapToGrid w:val="0"/>
        <w:spacing w:line="480" w:lineRule="exact"/>
        <w:ind w:firstLine="642" w:firstLineChars="200"/>
        <w:outlineLvl w:val="9"/>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 xml:space="preserve">第一条 </w:t>
      </w:r>
      <w:r>
        <w:rPr>
          <w:rFonts w:ascii="Times New Roman" w:hAnsi="Times New Roman" w:eastAsia="仿宋_GB2312" w:cs="Times New Roman"/>
          <w:bCs/>
          <w:color w:val="000000" w:themeColor="text1"/>
          <w:sz w:val="32"/>
          <w:szCs w:val="32"/>
          <w14:textFill>
            <w14:solidFill>
              <w14:schemeClr w14:val="tx1"/>
            </w14:solidFill>
          </w14:textFill>
        </w:rPr>
        <w:t>为</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贯彻习近平总书记关于稳住外贸外资基本盘的重要指示批示精神，落实党中央、国务院、北京市和平谷区决策部署</w:t>
      </w:r>
      <w:r>
        <w:rPr>
          <w:rFonts w:ascii="Times New Roman" w:hAnsi="Times New Roman" w:eastAsia="仿宋_GB2312" w:cs="Times New Roman"/>
          <w:bCs/>
          <w:color w:val="000000" w:themeColor="text1"/>
          <w:sz w:val="32"/>
          <w:szCs w:val="32"/>
          <w14:textFill>
            <w14:solidFill>
              <w14:schemeClr w14:val="tx1"/>
            </w14:solidFill>
          </w14:textFill>
        </w:rPr>
        <w:t>，</w:t>
      </w:r>
      <w:r>
        <w:rPr>
          <w:rFonts w:ascii="Times New Roman" w:hAnsi="Times New Roman" w:eastAsia="仿宋_GB2312" w:cs="Times New Roman"/>
          <w:bCs/>
          <w:color w:val="000000" w:themeColor="text1"/>
          <w:sz w:val="32"/>
          <w:szCs w:val="32"/>
          <w:highlight w:val="none"/>
          <w14:textFill>
            <w14:solidFill>
              <w14:schemeClr w14:val="tx1"/>
            </w14:solidFill>
          </w14:textFill>
        </w:rPr>
        <w:t>根</w:t>
      </w:r>
      <w:r>
        <w:rPr>
          <w:rFonts w:eastAsia="仿宋_GB2312"/>
          <w:bCs/>
          <w:color w:val="000000" w:themeColor="text1"/>
          <w:sz w:val="32"/>
          <w:szCs w:val="32"/>
          <w:highlight w:val="none"/>
          <w14:textFill>
            <w14:solidFill>
              <w14:schemeClr w14:val="tx1"/>
            </w14:solidFill>
          </w14:textFill>
        </w:rPr>
        <w:t>据《中华人民共和国外商投资法》</w:t>
      </w:r>
      <w:r>
        <w:rPr>
          <w:rFonts w:hint="eastAsia" w:eastAsia="仿宋_GB2312"/>
          <w:bCs/>
          <w:color w:val="000000" w:themeColor="text1"/>
          <w:sz w:val="32"/>
          <w:szCs w:val="32"/>
          <w:highlight w:val="none"/>
          <w:lang w:eastAsia="zh-CN"/>
          <w14:textFill>
            <w14:solidFill>
              <w14:schemeClr w14:val="tx1"/>
            </w14:solidFill>
          </w14:textFill>
        </w:rPr>
        <w:t>、</w:t>
      </w:r>
      <w:r>
        <w:rPr>
          <w:rFonts w:eastAsia="仿宋_GB2312"/>
          <w:bCs/>
          <w:color w:val="000000" w:themeColor="text1"/>
          <w:sz w:val="32"/>
          <w:szCs w:val="32"/>
          <w:highlight w:val="none"/>
          <w14:textFill>
            <w14:solidFill>
              <w14:schemeClr w14:val="tx1"/>
            </w14:solidFill>
          </w14:textFill>
        </w:rPr>
        <w:t>《北京市外经贸发展资金管理实施细则》</w:t>
      </w:r>
      <w:r>
        <w:rPr>
          <w:rFonts w:hint="eastAsia" w:eastAsia="仿宋_GB2312"/>
          <w:bCs/>
          <w:color w:val="000000" w:themeColor="text1"/>
          <w:sz w:val="32"/>
          <w:szCs w:val="32"/>
          <w:highlight w:val="none"/>
          <w:lang w:eastAsia="zh-CN"/>
          <w14:textFill>
            <w14:solidFill>
              <w14:schemeClr w14:val="tx1"/>
            </w14:solidFill>
          </w14:textFill>
        </w:rPr>
        <w:t>和</w:t>
      </w:r>
      <w:r>
        <w:rPr>
          <w:rFonts w:eastAsia="仿宋_GB2312"/>
          <w:color w:val="000000" w:themeColor="text1"/>
          <w:sz w:val="32"/>
          <w:szCs w:val="32"/>
          <w:highlight w:val="none"/>
          <w14:textFill>
            <w14:solidFill>
              <w14:schemeClr w14:val="tx1"/>
            </w14:solidFill>
          </w14:textFill>
        </w:rPr>
        <w:t>《关于印发平谷区“两区”建设工作方案的通知》，</w:t>
      </w:r>
      <w:r>
        <w:rPr>
          <w:rFonts w:eastAsia="仿宋_GB2312"/>
          <w:bCs/>
          <w:color w:val="000000" w:themeColor="text1"/>
          <w:kern w:val="0"/>
          <w:sz w:val="32"/>
          <w:szCs w:val="32"/>
          <w:highlight w:val="none"/>
          <w:lang w:val="zh-CN" w:bidi="zh-CN"/>
          <w14:textFill>
            <w14:solidFill>
              <w14:schemeClr w14:val="tx1"/>
            </w14:solidFill>
          </w14:textFill>
        </w:rPr>
        <w:t>鼓</w:t>
      </w:r>
      <w:r>
        <w:rPr>
          <w:rFonts w:eastAsia="仿宋_GB2312"/>
          <w:bCs/>
          <w:color w:val="000000" w:themeColor="text1"/>
          <w:kern w:val="0"/>
          <w:sz w:val="32"/>
          <w:szCs w:val="32"/>
          <w:lang w:val="zh-CN" w:bidi="zh-CN"/>
          <w14:textFill>
            <w14:solidFill>
              <w14:schemeClr w14:val="tx1"/>
            </w14:solidFill>
          </w14:textFill>
        </w:rPr>
        <w:t>励外商投资企业、外贸出口企业在本区投资兴业</w:t>
      </w:r>
      <w:r>
        <w:rPr>
          <w:rFonts w:eastAsia="仿宋_GB2312"/>
          <w:color w:val="000000" w:themeColor="text1"/>
          <w:sz w:val="32"/>
          <w:szCs w:val="32"/>
          <w14:textFill>
            <w14:solidFill>
              <w14:schemeClr w14:val="tx1"/>
            </w14:solidFill>
          </w14:textFill>
        </w:rPr>
        <w:t>，进一步提升全区外向型经济发展质量和水平，结合平谷实际，制定本办法。</w:t>
      </w:r>
    </w:p>
    <w:p>
      <w:pPr>
        <w:pStyle w:val="10"/>
        <w:snapToGrid w:val="0"/>
        <w:spacing w:before="0" w:beforeAutospacing="0" w:after="0" w:afterAutospacing="0" w:line="480" w:lineRule="exact"/>
        <w:jc w:val="center"/>
        <w:outlineLvl w:val="9"/>
        <w:rPr>
          <w:rFonts w:hint="eastAsia" w:ascii="Times New Roman" w:hAnsi="Times New Roman" w:eastAsia="黑体" w:cs="Times New Roman"/>
          <w:color w:val="000000" w:themeColor="text1"/>
          <w:sz w:val="32"/>
          <w:szCs w:val="32"/>
          <w14:textFill>
            <w14:solidFill>
              <w14:schemeClr w14:val="tx1"/>
            </w14:solidFill>
          </w14:textFill>
        </w:rPr>
      </w:pPr>
    </w:p>
    <w:p>
      <w:pPr>
        <w:pStyle w:val="10"/>
        <w:snapToGrid w:val="0"/>
        <w:spacing w:before="0" w:beforeAutospacing="0" w:after="0" w:afterAutospacing="0" w:line="480" w:lineRule="exact"/>
        <w:jc w:val="center"/>
        <w:outlineLvl w:val="9"/>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第二章</w:t>
      </w:r>
      <w:r>
        <w:rPr>
          <w:rFonts w:ascii="Times New Roman" w:hAnsi="Times New Roman" w:eastAsia="黑体" w:cs="Times New Roman"/>
          <w:color w:val="000000" w:themeColor="text1"/>
          <w:sz w:val="32"/>
          <w:szCs w:val="32"/>
          <w14:textFill>
            <w14:solidFill>
              <w14:schemeClr w14:val="tx1"/>
            </w14:solidFill>
          </w14:textFill>
        </w:rPr>
        <w:t xml:space="preserve"> </w:t>
      </w:r>
      <w:r>
        <w:rPr>
          <w:rFonts w:hint="eastAsia" w:ascii="Times New Roman" w:hAnsi="Times New Roman" w:eastAsia="黑体" w:cs="Times New Roman"/>
          <w:color w:val="000000" w:themeColor="text1"/>
          <w:sz w:val="32"/>
          <w:szCs w:val="32"/>
          <w14:textFill>
            <w14:solidFill>
              <w14:schemeClr w14:val="tx1"/>
            </w14:solidFill>
          </w14:textFill>
        </w:rPr>
        <w:t>提高利用外资水平</w:t>
      </w:r>
    </w:p>
    <w:p>
      <w:pPr>
        <w:snapToGrid w:val="0"/>
        <w:spacing w:line="480" w:lineRule="exact"/>
        <w:ind w:firstLine="642" w:firstLineChars="200"/>
        <w:outlineLvl w:val="9"/>
        <w:rPr>
          <w:rFonts w:eastAsia="仿宋_GB2312"/>
          <w:b/>
          <w:color w:val="000000" w:themeColor="text1"/>
          <w:kern w:val="0"/>
          <w:sz w:val="32"/>
          <w:szCs w:val="32"/>
          <w:lang w:bidi="zh-CN"/>
          <w14:textFill>
            <w14:solidFill>
              <w14:schemeClr w14:val="tx1"/>
            </w14:solidFill>
          </w14:textFill>
        </w:rPr>
      </w:pPr>
    </w:p>
    <w:p>
      <w:pPr>
        <w:snapToGrid w:val="0"/>
        <w:spacing w:line="480" w:lineRule="exact"/>
        <w:ind w:firstLine="642" w:firstLineChars="200"/>
        <w:outlineLvl w:val="9"/>
        <w:rPr>
          <w:rFonts w:eastAsia="仿宋_GB2312"/>
          <w:bCs/>
          <w:color w:val="000000" w:themeColor="text1"/>
          <w:kern w:val="0"/>
          <w:sz w:val="32"/>
          <w:szCs w:val="32"/>
          <w:lang w:bidi="zh-CN"/>
          <w14:textFill>
            <w14:solidFill>
              <w14:schemeClr w14:val="tx1"/>
            </w14:solidFill>
          </w14:textFill>
        </w:rPr>
      </w:pPr>
      <w:r>
        <w:rPr>
          <w:rFonts w:eastAsia="仿宋_GB2312"/>
          <w:b/>
          <w:color w:val="000000" w:themeColor="text1"/>
          <w:kern w:val="0"/>
          <w:sz w:val="32"/>
          <w:szCs w:val="32"/>
          <w:lang w:bidi="zh-CN"/>
          <w14:textFill>
            <w14:solidFill>
              <w14:schemeClr w14:val="tx1"/>
            </w14:solidFill>
          </w14:textFill>
        </w:rPr>
        <w:t>第二条</w:t>
      </w:r>
      <w:r>
        <w:rPr>
          <w:rFonts w:eastAsia="仿宋_GB2312"/>
          <w:bCs/>
          <w:color w:val="000000" w:themeColor="text1"/>
          <w:kern w:val="0"/>
          <w:sz w:val="32"/>
          <w:szCs w:val="32"/>
          <w:lang w:bidi="zh-CN"/>
          <w14:textFill>
            <w14:solidFill>
              <w14:schemeClr w14:val="tx1"/>
            </w14:solidFill>
          </w14:textFill>
        </w:rPr>
        <w:t xml:space="preserve"> </w:t>
      </w:r>
      <w:r>
        <w:rPr>
          <w:rFonts w:eastAsia="仿宋_GB2312"/>
          <w:b/>
          <w:color w:val="000000" w:themeColor="text1"/>
          <w:kern w:val="0"/>
          <w:sz w:val="32"/>
          <w:szCs w:val="32"/>
          <w:lang w:bidi="zh-CN"/>
          <w14:textFill>
            <w14:solidFill>
              <w14:schemeClr w14:val="tx1"/>
            </w14:solidFill>
          </w14:textFill>
        </w:rPr>
        <w:t>支持对象。</w:t>
      </w:r>
      <w:r>
        <w:rPr>
          <w:rFonts w:eastAsia="仿宋_GB2312"/>
          <w:bCs/>
          <w:color w:val="000000" w:themeColor="text1"/>
          <w:kern w:val="0"/>
          <w:sz w:val="32"/>
          <w:szCs w:val="32"/>
          <w:lang w:bidi="zh-CN"/>
          <w14:textFill>
            <w14:solidFill>
              <w14:schemeClr w14:val="tx1"/>
            </w14:solidFill>
          </w14:textFill>
        </w:rPr>
        <w:t>对在本区注册成立</w:t>
      </w:r>
      <w:r>
        <w:rPr>
          <w:rFonts w:hint="eastAsia" w:eastAsia="仿宋_GB2312"/>
          <w:bCs/>
          <w:color w:val="000000" w:themeColor="text1"/>
          <w:kern w:val="0"/>
          <w:sz w:val="32"/>
          <w:szCs w:val="32"/>
          <w:lang w:bidi="zh-CN"/>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具有独立法人资格、合法经营的</w:t>
      </w:r>
      <w:r>
        <w:rPr>
          <w:rFonts w:eastAsia="仿宋_GB2312"/>
          <w:bCs/>
          <w:color w:val="000000" w:themeColor="text1"/>
          <w:kern w:val="0"/>
          <w:sz w:val="32"/>
          <w:szCs w:val="32"/>
          <w:lang w:bidi="zh-CN"/>
          <w14:textFill>
            <w14:solidFill>
              <w14:schemeClr w14:val="tx1"/>
            </w14:solidFill>
          </w14:textFill>
        </w:rPr>
        <w:t>外商投资企业予以资金</w:t>
      </w:r>
      <w:r>
        <w:rPr>
          <w:rFonts w:hint="eastAsia" w:eastAsia="仿宋_GB2312"/>
          <w:bCs/>
          <w:color w:val="000000" w:themeColor="text1"/>
          <w:kern w:val="0"/>
          <w:sz w:val="32"/>
          <w:szCs w:val="32"/>
          <w:lang w:eastAsia="zh-CN" w:bidi="zh-CN"/>
          <w14:textFill>
            <w14:solidFill>
              <w14:schemeClr w14:val="tx1"/>
            </w14:solidFill>
          </w14:textFill>
        </w:rPr>
        <w:t>或政策</w:t>
      </w:r>
      <w:r>
        <w:rPr>
          <w:rFonts w:eastAsia="仿宋_GB2312"/>
          <w:bCs/>
          <w:color w:val="000000" w:themeColor="text1"/>
          <w:kern w:val="0"/>
          <w:sz w:val="32"/>
          <w:szCs w:val="32"/>
          <w:lang w:bidi="zh-CN"/>
          <w14:textFill>
            <w14:solidFill>
              <w14:schemeClr w14:val="tx1"/>
            </w14:solidFill>
          </w14:textFill>
        </w:rPr>
        <w:t>扶持。</w:t>
      </w:r>
    </w:p>
    <w:p>
      <w:pPr>
        <w:snapToGrid w:val="0"/>
        <w:spacing w:line="480" w:lineRule="exact"/>
        <w:ind w:firstLine="642" w:firstLineChars="200"/>
        <w:outlineLvl w:val="9"/>
        <w:rPr>
          <w:rFonts w:eastAsia="仿宋_GB2312"/>
          <w:bCs/>
          <w:color w:val="000000" w:themeColor="text1"/>
          <w:sz w:val="32"/>
          <w:szCs w:val="32"/>
          <w:lang w:bidi="zh-CN"/>
          <w14:textFill>
            <w14:solidFill>
              <w14:schemeClr w14:val="tx1"/>
            </w14:solidFill>
          </w14:textFill>
        </w:rPr>
      </w:pPr>
      <w:r>
        <w:rPr>
          <w:rFonts w:eastAsia="仿宋_GB2312"/>
          <w:b/>
          <w:color w:val="000000" w:themeColor="text1"/>
          <w:kern w:val="0"/>
          <w:sz w:val="32"/>
          <w:szCs w:val="32"/>
          <w:lang w:bidi="zh-CN"/>
          <w14:textFill>
            <w14:solidFill>
              <w14:schemeClr w14:val="tx1"/>
            </w14:solidFill>
          </w14:textFill>
        </w:rPr>
        <w:t xml:space="preserve">第三条 </w:t>
      </w:r>
      <w:r>
        <w:rPr>
          <w:rFonts w:eastAsia="仿宋_GB2312"/>
          <w:b/>
          <w:color w:val="000000" w:themeColor="text1"/>
          <w:sz w:val="32"/>
          <w:szCs w:val="32"/>
          <w14:textFill>
            <w14:solidFill>
              <w14:schemeClr w14:val="tx1"/>
            </w14:solidFill>
          </w14:textFill>
        </w:rPr>
        <w:t>对外商投资企业实际利用外资给予资金扶持。</w:t>
      </w:r>
      <w:r>
        <w:rPr>
          <w:rFonts w:eastAsia="仿宋_GB2312"/>
          <w:bCs/>
          <w:color w:val="000000" w:themeColor="text1"/>
          <w:kern w:val="0"/>
          <w:sz w:val="32"/>
          <w:szCs w:val="32"/>
          <w:lang w:bidi="zh-CN"/>
          <w14:textFill>
            <w14:solidFill>
              <w14:schemeClr w14:val="tx1"/>
            </w14:solidFill>
          </w14:textFill>
        </w:rPr>
        <w:t>支持标准：同一企业同一年度内扶持资金不超过100万元人民币。</w:t>
      </w:r>
    </w:p>
    <w:p>
      <w:pPr>
        <w:snapToGrid w:val="0"/>
        <w:spacing w:line="480" w:lineRule="exact"/>
        <w:ind w:firstLine="640" w:firstLineChars="200"/>
        <w:outlineLvl w:val="9"/>
        <w:rPr>
          <w:rFonts w:eastAsia="仿宋_GB2312"/>
          <w:bCs/>
          <w:color w:val="000000" w:themeColor="text1"/>
          <w:sz w:val="32"/>
          <w:szCs w:val="32"/>
          <w:lang w:bidi="zh-CN"/>
          <w14:textFill>
            <w14:solidFill>
              <w14:schemeClr w14:val="tx1"/>
            </w14:solidFill>
          </w14:textFill>
        </w:rPr>
      </w:pPr>
      <w:r>
        <w:rPr>
          <w:rFonts w:eastAsia="仿宋_GB2312"/>
          <w:bCs/>
          <w:color w:val="000000" w:themeColor="text1"/>
          <w:kern w:val="0"/>
          <w:sz w:val="32"/>
          <w:szCs w:val="32"/>
          <w:lang w:bidi="zh-CN"/>
          <w14:textFill>
            <w14:solidFill>
              <w14:schemeClr w14:val="tx1"/>
            </w14:solidFill>
          </w14:textFill>
        </w:rPr>
        <w:t>（一）</w:t>
      </w:r>
      <w:r>
        <w:rPr>
          <w:rFonts w:hint="eastAsia" w:eastAsia="仿宋_GB2312"/>
          <w:bCs/>
          <w:color w:val="000000" w:themeColor="text1"/>
          <w:kern w:val="0"/>
          <w:sz w:val="32"/>
          <w:szCs w:val="32"/>
          <w:lang w:bidi="zh-CN"/>
          <w14:textFill>
            <w14:solidFill>
              <w14:schemeClr w14:val="tx1"/>
            </w14:solidFill>
          </w14:textFill>
        </w:rPr>
        <w:t>聚焦开拓市场、产业升级和创新创造，符合区域产业发展方向，有利于地区经济社会发展，</w:t>
      </w:r>
      <w:r>
        <w:rPr>
          <w:rFonts w:eastAsia="仿宋_GB2312"/>
          <w:bCs/>
          <w:color w:val="000000" w:themeColor="text1"/>
          <w:kern w:val="0"/>
          <w:sz w:val="32"/>
          <w:szCs w:val="32"/>
          <w:lang w:bidi="zh-CN"/>
          <w14:textFill>
            <w14:solidFill>
              <w14:schemeClr w14:val="tx1"/>
            </w14:solidFill>
          </w14:textFill>
        </w:rPr>
        <w:t>实际利用外资金额用货币、实物出资的，当年实际利用外资到位金额不低于500万美元，按照每100万美</w:t>
      </w:r>
      <w:r>
        <w:rPr>
          <w:rFonts w:hint="eastAsia" w:eastAsia="仿宋_GB2312"/>
          <w:bCs/>
          <w:color w:val="000000" w:themeColor="text1"/>
          <w:kern w:val="0"/>
          <w:sz w:val="32"/>
          <w:szCs w:val="32"/>
          <w:lang w:bidi="zh-CN"/>
          <w14:textFill>
            <w14:solidFill>
              <w14:schemeClr w14:val="tx1"/>
            </w14:solidFill>
          </w14:textFill>
        </w:rPr>
        <w:t>元</w:t>
      </w:r>
      <w:r>
        <w:rPr>
          <w:rFonts w:eastAsia="仿宋_GB2312"/>
          <w:bCs/>
          <w:color w:val="000000" w:themeColor="text1"/>
          <w:kern w:val="0"/>
          <w:sz w:val="32"/>
          <w:szCs w:val="32"/>
          <w:lang w:bidi="zh-CN"/>
          <w14:textFill>
            <w14:solidFill>
              <w14:schemeClr w14:val="tx1"/>
            </w14:solidFill>
          </w14:textFill>
        </w:rPr>
        <w:t>奖励2万元人民币的标准给予资金扶持。</w:t>
      </w:r>
    </w:p>
    <w:p>
      <w:pPr>
        <w:snapToGrid w:val="0"/>
        <w:spacing w:line="480" w:lineRule="exact"/>
        <w:ind w:firstLine="640" w:firstLineChars="200"/>
        <w:outlineLvl w:val="9"/>
        <w:rPr>
          <w:rFonts w:eastAsia="仿宋_GB2312"/>
          <w:bCs/>
          <w:color w:val="000000" w:themeColor="text1"/>
          <w:sz w:val="32"/>
          <w:szCs w:val="32"/>
          <w:lang w:bidi="zh-CN"/>
          <w14:textFill>
            <w14:solidFill>
              <w14:schemeClr w14:val="tx1"/>
            </w14:solidFill>
          </w14:textFill>
        </w:rPr>
      </w:pPr>
      <w:r>
        <w:rPr>
          <w:rFonts w:eastAsia="仿宋_GB2312"/>
          <w:bCs/>
          <w:color w:val="000000" w:themeColor="text1"/>
          <w:kern w:val="0"/>
          <w:sz w:val="32"/>
          <w:szCs w:val="32"/>
          <w:lang w:bidi="zh-CN"/>
          <w14:textFill>
            <w14:solidFill>
              <w14:schemeClr w14:val="tx1"/>
            </w14:solidFill>
          </w14:textFill>
        </w:rPr>
        <w:t>（二）实际利用外资用知识产权出资的，经专业评估机构</w:t>
      </w:r>
      <w:r>
        <w:rPr>
          <w:rStyle w:val="16"/>
          <w:rFonts w:eastAsia="仿宋_GB2312"/>
          <w:bCs/>
          <w:color w:val="000000" w:themeColor="text1"/>
          <w:kern w:val="0"/>
          <w:sz w:val="32"/>
          <w:szCs w:val="32"/>
          <w:lang w:bidi="zh-CN"/>
          <w14:textFill>
            <w14:solidFill>
              <w14:schemeClr w14:val="tx1"/>
            </w14:solidFill>
          </w14:textFill>
        </w:rPr>
        <w:footnoteReference w:id="0"/>
      </w:r>
      <w:r>
        <w:rPr>
          <w:rFonts w:eastAsia="仿宋_GB2312"/>
          <w:bCs/>
          <w:color w:val="000000" w:themeColor="text1"/>
          <w:kern w:val="0"/>
          <w:sz w:val="32"/>
          <w:szCs w:val="32"/>
          <w:lang w:bidi="zh-CN"/>
          <w14:textFill>
            <w14:solidFill>
              <w14:schemeClr w14:val="tx1"/>
            </w14:solidFill>
          </w14:textFill>
        </w:rPr>
        <w:t>评估价值不低于500万美元，按照每100万美元奖励1万元人民币的标准给予资金扶持。</w:t>
      </w:r>
    </w:p>
    <w:p>
      <w:pPr>
        <w:snapToGrid w:val="0"/>
        <w:spacing w:line="480" w:lineRule="exact"/>
        <w:ind w:firstLine="642" w:firstLineChars="200"/>
        <w:outlineLvl w:val="9"/>
        <w:rPr>
          <w:rFonts w:eastAsia="仿宋_GB2312"/>
          <w:bCs/>
          <w:color w:val="000000" w:themeColor="text1"/>
          <w:sz w:val="32"/>
          <w:szCs w:val="32"/>
          <w:lang w:bidi="zh-CN"/>
          <w14:textFill>
            <w14:solidFill>
              <w14:schemeClr w14:val="tx1"/>
            </w14:solidFill>
          </w14:textFill>
        </w:rPr>
      </w:pPr>
      <w:r>
        <w:rPr>
          <w:rFonts w:eastAsia="仿宋_GB2312"/>
          <w:b/>
          <w:color w:val="000000" w:themeColor="text1"/>
          <w:kern w:val="0"/>
          <w:sz w:val="32"/>
          <w:szCs w:val="32"/>
          <w:lang w:bidi="zh-CN"/>
          <w14:textFill>
            <w14:solidFill>
              <w14:schemeClr w14:val="tx1"/>
            </w14:solidFill>
          </w14:textFill>
        </w:rPr>
        <w:t>第</w:t>
      </w:r>
      <w:r>
        <w:rPr>
          <w:rFonts w:hint="eastAsia" w:eastAsia="仿宋_GB2312"/>
          <w:b/>
          <w:color w:val="000000" w:themeColor="text1"/>
          <w:kern w:val="0"/>
          <w:sz w:val="32"/>
          <w:szCs w:val="32"/>
          <w:lang w:eastAsia="zh-CN" w:bidi="zh-CN"/>
          <w14:textFill>
            <w14:solidFill>
              <w14:schemeClr w14:val="tx1"/>
            </w14:solidFill>
          </w14:textFill>
        </w:rPr>
        <w:t>四</w:t>
      </w:r>
      <w:r>
        <w:rPr>
          <w:rFonts w:eastAsia="仿宋_GB2312"/>
          <w:b/>
          <w:color w:val="000000" w:themeColor="text1"/>
          <w:kern w:val="0"/>
          <w:sz w:val="32"/>
          <w:szCs w:val="32"/>
          <w:lang w:bidi="zh-CN"/>
          <w14:textFill>
            <w14:solidFill>
              <w14:schemeClr w14:val="tx1"/>
            </w14:solidFill>
          </w14:textFill>
        </w:rPr>
        <w:t>条 给予重点外资企业金融支持。</w:t>
      </w:r>
      <w:r>
        <w:rPr>
          <w:rFonts w:eastAsia="仿宋_GB2312"/>
          <w:bCs/>
          <w:color w:val="000000" w:themeColor="text1"/>
          <w:kern w:val="0"/>
          <w:sz w:val="32"/>
          <w:szCs w:val="32"/>
          <w:lang w:bidi="zh-CN"/>
          <w14:textFill>
            <w14:solidFill>
              <w14:schemeClr w14:val="tx1"/>
            </w14:solidFill>
          </w14:textFill>
        </w:rPr>
        <w:t>根据区内重点外资企业融资需求及经营情况，及时与银行等金融机构共享重点外资企业信息，加强外资企业与银行业金融机构的合作，推动开展“银企对接”，银行业金融机构按市场化原则积极保障重点外资企业融资需求。</w:t>
      </w:r>
    </w:p>
    <w:p>
      <w:pPr>
        <w:snapToGrid w:val="0"/>
        <w:spacing w:line="480" w:lineRule="exact"/>
        <w:ind w:firstLine="642" w:firstLineChars="200"/>
        <w:outlineLvl w:val="9"/>
        <w:rPr>
          <w:rFonts w:eastAsia="仿宋"/>
          <w:color w:val="000000" w:themeColor="text1"/>
          <w:sz w:val="32"/>
          <w:szCs w:val="32"/>
          <w:shd w:val="clear" w:color="auto" w:fill="FFFFFF"/>
          <w14:textFill>
            <w14:solidFill>
              <w14:schemeClr w14:val="tx1"/>
            </w14:solidFill>
          </w14:textFill>
        </w:rPr>
      </w:pPr>
      <w:r>
        <w:rPr>
          <w:rFonts w:eastAsia="仿宋_GB2312"/>
          <w:b/>
          <w:color w:val="000000" w:themeColor="text1"/>
          <w:sz w:val="32"/>
          <w:szCs w:val="32"/>
          <w14:textFill>
            <w14:solidFill>
              <w14:schemeClr w14:val="tx1"/>
            </w14:solidFill>
          </w14:textFill>
        </w:rPr>
        <w:t>第</w:t>
      </w:r>
      <w:r>
        <w:rPr>
          <w:rFonts w:hint="eastAsia" w:eastAsia="仿宋_GB2312"/>
          <w:b/>
          <w:color w:val="000000" w:themeColor="text1"/>
          <w:sz w:val="32"/>
          <w:szCs w:val="32"/>
          <w:lang w:eastAsia="zh-CN"/>
          <w14:textFill>
            <w14:solidFill>
              <w14:schemeClr w14:val="tx1"/>
            </w14:solidFill>
          </w14:textFill>
        </w:rPr>
        <w:t>五</w:t>
      </w:r>
      <w:r>
        <w:rPr>
          <w:rFonts w:eastAsia="仿宋_GB2312"/>
          <w:b/>
          <w:color w:val="000000" w:themeColor="text1"/>
          <w:sz w:val="32"/>
          <w:szCs w:val="32"/>
          <w14:textFill>
            <w14:solidFill>
              <w14:schemeClr w14:val="tx1"/>
            </w14:solidFill>
          </w14:textFill>
        </w:rPr>
        <w:t>条 加大重点外资项目支持服务力度。</w:t>
      </w:r>
      <w:r>
        <w:rPr>
          <w:rFonts w:eastAsia="仿宋_GB2312"/>
          <w:bCs/>
          <w:color w:val="000000" w:themeColor="text1"/>
          <w:kern w:val="0"/>
          <w:sz w:val="32"/>
          <w:szCs w:val="32"/>
          <w:lang w:bidi="zh-CN"/>
          <w14:textFill>
            <w14:solidFill>
              <w14:schemeClr w14:val="tx1"/>
            </w14:solidFill>
          </w14:textFill>
        </w:rPr>
        <w:t>对投资额1亿美元以上的重点外资项目，梳理形成清单，在前期、在建和投产等环节，内外资一视同仁加大用地、能耗、环保等方面服务保障力度。鼓励外商来华投资设立研发中心，提升招商引资质量。</w:t>
      </w:r>
    </w:p>
    <w:p>
      <w:pPr>
        <w:snapToGrid w:val="0"/>
        <w:spacing w:line="480" w:lineRule="exact"/>
        <w:ind w:firstLine="642" w:firstLineChars="200"/>
        <w:outlineLvl w:val="9"/>
        <w:rPr>
          <w:rFonts w:eastAsia="仿宋_GB2312"/>
          <w:bCs/>
          <w:color w:val="000000" w:themeColor="text1"/>
          <w:sz w:val="32"/>
          <w:szCs w:val="32"/>
          <w:lang w:bidi="zh-CN"/>
          <w14:textFill>
            <w14:solidFill>
              <w14:schemeClr w14:val="tx1"/>
            </w14:solidFill>
          </w14:textFill>
        </w:rPr>
      </w:pPr>
      <w:r>
        <w:rPr>
          <w:rFonts w:eastAsia="仿宋_GB2312"/>
          <w:b/>
          <w:color w:val="000000" w:themeColor="text1"/>
          <w:sz w:val="32"/>
          <w:szCs w:val="32"/>
          <w14:textFill>
            <w14:solidFill>
              <w14:schemeClr w14:val="tx1"/>
            </w14:solidFill>
          </w14:textFill>
        </w:rPr>
        <w:t>第</w:t>
      </w:r>
      <w:r>
        <w:rPr>
          <w:rFonts w:hint="eastAsia" w:eastAsia="仿宋_GB2312"/>
          <w:b/>
          <w:color w:val="000000" w:themeColor="text1"/>
          <w:sz w:val="32"/>
          <w:szCs w:val="32"/>
          <w:lang w:eastAsia="zh-CN"/>
          <w14:textFill>
            <w14:solidFill>
              <w14:schemeClr w14:val="tx1"/>
            </w14:solidFill>
          </w14:textFill>
        </w:rPr>
        <w:t>六</w:t>
      </w:r>
      <w:r>
        <w:rPr>
          <w:rFonts w:eastAsia="仿宋_GB2312"/>
          <w:b/>
          <w:color w:val="000000" w:themeColor="text1"/>
          <w:sz w:val="32"/>
          <w:szCs w:val="32"/>
          <w14:textFill>
            <w14:solidFill>
              <w14:schemeClr w14:val="tx1"/>
            </w14:solidFill>
          </w14:textFill>
        </w:rPr>
        <w:t>条 优化人才配套服务保障。</w:t>
      </w:r>
      <w:r>
        <w:rPr>
          <w:rFonts w:eastAsia="仿宋_GB2312"/>
          <w:bCs/>
          <w:color w:val="000000" w:themeColor="text1"/>
          <w:kern w:val="0"/>
          <w:sz w:val="32"/>
          <w:szCs w:val="32"/>
          <w:lang w:bidi="zh-CN"/>
          <w14:textFill>
            <w14:solidFill>
              <w14:schemeClr w14:val="tx1"/>
            </w14:solidFill>
          </w14:textFill>
        </w:rPr>
        <w:t>对符合北京发展定位和引进政策的特定行业高管人才、专业技术人才，在落户、工作居住证办理上加大与各产业主管部门联动的专项支持力度。结合外资企业在京投资、纳税、科技创新等情况，根据贡献额度、转化效果等，精准提供人才引进支持。为研发、执业、参展、交流、培训等高端人才提供签证便利。</w:t>
      </w:r>
    </w:p>
    <w:p>
      <w:pPr>
        <w:snapToGrid w:val="0"/>
        <w:spacing w:line="480" w:lineRule="exact"/>
        <w:ind w:firstLine="642" w:firstLineChars="200"/>
        <w:outlineLvl w:val="9"/>
        <w:rPr>
          <w:color w:val="000000" w:themeColor="text1"/>
          <w14:textFill>
            <w14:solidFill>
              <w14:schemeClr w14:val="tx1"/>
            </w14:solidFill>
          </w14:textFill>
        </w:rPr>
      </w:pPr>
      <w:r>
        <w:rPr>
          <w:rFonts w:eastAsia="仿宋_GB2312"/>
          <w:b/>
          <w:color w:val="000000" w:themeColor="text1"/>
          <w:sz w:val="32"/>
          <w:szCs w:val="32"/>
          <w14:textFill>
            <w14:solidFill>
              <w14:schemeClr w14:val="tx1"/>
            </w14:solidFill>
          </w14:textFill>
        </w:rPr>
        <w:t>第</w:t>
      </w:r>
      <w:r>
        <w:rPr>
          <w:rFonts w:hint="eastAsia" w:eastAsia="仿宋_GB2312"/>
          <w:b/>
          <w:color w:val="000000" w:themeColor="text1"/>
          <w:sz w:val="32"/>
          <w:szCs w:val="32"/>
          <w:lang w:eastAsia="zh-CN"/>
          <w14:textFill>
            <w14:solidFill>
              <w14:schemeClr w14:val="tx1"/>
            </w14:solidFill>
          </w14:textFill>
        </w:rPr>
        <w:t>七</w:t>
      </w:r>
      <w:r>
        <w:rPr>
          <w:rFonts w:eastAsia="仿宋_GB2312"/>
          <w:b/>
          <w:color w:val="000000" w:themeColor="text1"/>
          <w:sz w:val="32"/>
          <w:szCs w:val="32"/>
          <w14:textFill>
            <w14:solidFill>
              <w14:schemeClr w14:val="tx1"/>
            </w14:solidFill>
          </w14:textFill>
        </w:rPr>
        <w:t>条 用好服务管家和服务包机制。</w:t>
      </w:r>
      <w:r>
        <w:rPr>
          <w:rFonts w:eastAsia="仿宋_GB2312"/>
          <w:bCs/>
          <w:color w:val="000000" w:themeColor="text1"/>
          <w:kern w:val="0"/>
          <w:sz w:val="32"/>
          <w:szCs w:val="32"/>
          <w:lang w:bidi="zh-CN"/>
          <w14:textFill>
            <w14:solidFill>
              <w14:schemeClr w14:val="tx1"/>
            </w14:solidFill>
          </w14:textFill>
        </w:rPr>
        <w:t>加强对外资企业的沟通和服务，做好重点项目支持。对重大项目建立协调调度机制，纳入区级“服务包”范围，配备项目服务管家，提供“一站式”服务，跟踪项目在谈、签约、注册和运营的全过程，及时协调解决项目推进过程中的问题和困难。</w:t>
      </w:r>
    </w:p>
    <w:p>
      <w:pPr>
        <w:snapToGrid w:val="0"/>
        <w:spacing w:line="480" w:lineRule="exact"/>
        <w:ind w:firstLine="642" w:firstLineChars="200"/>
        <w:outlineLvl w:val="9"/>
        <w:rPr>
          <w:rFonts w:eastAsia="仿宋_GB2312"/>
          <w:bCs/>
          <w:color w:val="000000" w:themeColor="text1"/>
          <w:sz w:val="32"/>
          <w:szCs w:val="32"/>
          <w:lang w:bidi="zh-CN"/>
          <w14:textFill>
            <w14:solidFill>
              <w14:schemeClr w14:val="tx1"/>
            </w14:solidFill>
          </w14:textFill>
        </w:rPr>
      </w:pPr>
      <w:r>
        <w:rPr>
          <w:rFonts w:eastAsia="仿宋_GB2312"/>
          <w:b/>
          <w:color w:val="000000" w:themeColor="text1"/>
          <w:sz w:val="32"/>
          <w:szCs w:val="32"/>
          <w14:textFill>
            <w14:solidFill>
              <w14:schemeClr w14:val="tx1"/>
            </w14:solidFill>
          </w14:textFill>
        </w:rPr>
        <w:t>第</w:t>
      </w:r>
      <w:r>
        <w:rPr>
          <w:rFonts w:hint="eastAsia" w:eastAsia="仿宋_GB2312"/>
          <w:b/>
          <w:color w:val="000000" w:themeColor="text1"/>
          <w:sz w:val="32"/>
          <w:szCs w:val="32"/>
          <w:lang w:eastAsia="zh-CN"/>
          <w14:textFill>
            <w14:solidFill>
              <w14:schemeClr w14:val="tx1"/>
            </w14:solidFill>
          </w14:textFill>
        </w:rPr>
        <w:t>八</w:t>
      </w:r>
      <w:r>
        <w:rPr>
          <w:rFonts w:eastAsia="仿宋_GB2312"/>
          <w:b/>
          <w:color w:val="000000" w:themeColor="text1"/>
          <w:sz w:val="32"/>
          <w:szCs w:val="32"/>
          <w14:textFill>
            <w14:solidFill>
              <w14:schemeClr w14:val="tx1"/>
            </w14:solidFill>
          </w14:textFill>
        </w:rPr>
        <w:t>条 保障外商投资企业公平参与政府采购。</w:t>
      </w:r>
      <w:r>
        <w:rPr>
          <w:rFonts w:eastAsia="仿宋_GB2312"/>
          <w:bCs/>
          <w:color w:val="000000" w:themeColor="text1"/>
          <w:kern w:val="0"/>
          <w:sz w:val="32"/>
          <w:szCs w:val="32"/>
          <w:lang w:bidi="zh-CN"/>
          <w14:textFill>
            <w14:solidFill>
              <w14:schemeClr w14:val="tx1"/>
            </w14:solidFill>
          </w14:textFill>
        </w:rPr>
        <w:t>加强《中华人民共和国外商投资法》及其配套法规和利用外资相关政策的宣传解读。各有关部门在政府采购信息发布、供应商条件确定、评标标准等方面，不得限定供应商的所有制形式、组织形式、股权结构或者投资者国别，以及产品或服务品牌等，依法保障外商投资企业公平参与政府采购。</w:t>
      </w:r>
    </w:p>
    <w:p>
      <w:pPr>
        <w:pStyle w:val="10"/>
        <w:snapToGrid w:val="0"/>
        <w:spacing w:before="0" w:beforeAutospacing="0" w:after="0" w:afterAutospacing="0" w:line="480" w:lineRule="exact"/>
        <w:jc w:val="center"/>
        <w:outlineLvl w:val="9"/>
        <w:rPr>
          <w:rFonts w:hint="eastAsia" w:ascii="Times New Roman" w:hAnsi="Times New Roman" w:eastAsia="黑体" w:cs="Times New Roman"/>
          <w:color w:val="000000" w:themeColor="text1"/>
          <w:sz w:val="32"/>
          <w:szCs w:val="32"/>
          <w14:textFill>
            <w14:solidFill>
              <w14:schemeClr w14:val="tx1"/>
            </w14:solidFill>
          </w14:textFill>
        </w:rPr>
      </w:pPr>
    </w:p>
    <w:p>
      <w:pPr>
        <w:pStyle w:val="10"/>
        <w:snapToGrid w:val="0"/>
        <w:spacing w:before="0" w:beforeAutospacing="0" w:after="0" w:afterAutospacing="0" w:line="480" w:lineRule="exact"/>
        <w:jc w:val="center"/>
        <w:outlineLvl w:val="9"/>
        <w:rPr>
          <w:rFonts w:ascii="Times New Roman" w:hAnsi="Times New Roman" w:eastAsia="楷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第三章</w:t>
      </w:r>
      <w:r>
        <w:rPr>
          <w:rFonts w:ascii="Times New Roman" w:hAnsi="Times New Roman" w:eastAsia="黑体" w:cs="Times New Roman"/>
          <w:color w:val="000000" w:themeColor="text1"/>
          <w:sz w:val="32"/>
          <w:szCs w:val="32"/>
          <w14:textFill>
            <w14:solidFill>
              <w14:schemeClr w14:val="tx1"/>
            </w14:solidFill>
          </w14:textFill>
        </w:rPr>
        <w:t xml:space="preserve"> </w:t>
      </w:r>
      <w:r>
        <w:rPr>
          <w:rFonts w:hint="eastAsia" w:ascii="Times New Roman" w:hAnsi="Times New Roman" w:eastAsia="黑体" w:cs="Times New Roman"/>
          <w:color w:val="000000" w:themeColor="text1"/>
          <w:sz w:val="32"/>
          <w:szCs w:val="32"/>
          <w14:textFill>
            <w14:solidFill>
              <w14:schemeClr w14:val="tx1"/>
            </w14:solidFill>
          </w14:textFill>
        </w:rPr>
        <w:t>促进外贸健康发展</w:t>
      </w:r>
    </w:p>
    <w:p>
      <w:pPr>
        <w:snapToGrid w:val="0"/>
        <w:spacing w:line="480" w:lineRule="exact"/>
        <w:ind w:firstLine="642" w:firstLineChars="200"/>
        <w:outlineLvl w:val="9"/>
        <w:rPr>
          <w:rFonts w:eastAsia="仿宋_GB2312"/>
          <w:b/>
          <w:bCs/>
          <w:color w:val="000000" w:themeColor="text1"/>
          <w:sz w:val="32"/>
          <w:szCs w:val="32"/>
          <w14:textFill>
            <w14:solidFill>
              <w14:schemeClr w14:val="tx1"/>
            </w14:solidFill>
          </w14:textFill>
        </w:rPr>
      </w:pPr>
    </w:p>
    <w:p>
      <w:pPr>
        <w:snapToGrid w:val="0"/>
        <w:spacing w:line="480" w:lineRule="exact"/>
        <w:ind w:firstLine="642" w:firstLineChars="200"/>
        <w:outlineLvl w:val="9"/>
        <w:rPr>
          <w:rFonts w:hint="eastAsia" w:eastAsia="仿宋_GB2312"/>
          <w:color w:val="000000" w:themeColor="text1"/>
          <w:sz w:val="32"/>
          <w:szCs w:val="32"/>
          <w:highlight w:val="none"/>
          <w14:textFill>
            <w14:solidFill>
              <w14:schemeClr w14:val="tx1"/>
            </w14:solidFill>
          </w14:textFill>
        </w:rPr>
      </w:pPr>
      <w:r>
        <w:rPr>
          <w:rFonts w:eastAsia="仿宋_GB2312"/>
          <w:b/>
          <w:bCs/>
          <w:color w:val="000000" w:themeColor="text1"/>
          <w:sz w:val="32"/>
          <w:szCs w:val="32"/>
          <w14:textFill>
            <w14:solidFill>
              <w14:schemeClr w14:val="tx1"/>
            </w14:solidFill>
          </w14:textFill>
        </w:rPr>
        <w:t>第</w:t>
      </w:r>
      <w:r>
        <w:rPr>
          <w:rFonts w:hint="eastAsia" w:eastAsia="仿宋_GB2312"/>
          <w:b/>
          <w:bCs/>
          <w:color w:val="000000" w:themeColor="text1"/>
          <w:sz w:val="32"/>
          <w:szCs w:val="32"/>
          <w:lang w:eastAsia="zh-CN"/>
          <w14:textFill>
            <w14:solidFill>
              <w14:schemeClr w14:val="tx1"/>
            </w14:solidFill>
          </w14:textFill>
        </w:rPr>
        <w:t>九</w:t>
      </w:r>
      <w:r>
        <w:rPr>
          <w:rFonts w:eastAsia="仿宋_GB2312"/>
          <w:b/>
          <w:bCs/>
          <w:color w:val="000000" w:themeColor="text1"/>
          <w:sz w:val="32"/>
          <w:szCs w:val="32"/>
          <w14:textFill>
            <w14:solidFill>
              <w14:schemeClr w14:val="tx1"/>
            </w14:solidFill>
          </w14:textFill>
        </w:rPr>
        <w:t>条 支持对象。</w:t>
      </w:r>
      <w:r>
        <w:rPr>
          <w:rFonts w:eastAsia="仿宋_GB2312"/>
          <w:color w:val="000000" w:themeColor="text1"/>
          <w:sz w:val="32"/>
          <w:szCs w:val="32"/>
          <w:highlight w:val="none"/>
          <w14:textFill>
            <w14:solidFill>
              <w14:schemeClr w14:val="tx1"/>
            </w14:solidFill>
          </w14:textFill>
        </w:rPr>
        <w:t>在平谷区内已注册并办理税务登记、取得进出口经营资格</w:t>
      </w:r>
      <w:r>
        <w:rPr>
          <w:rFonts w:hint="eastAsia" w:eastAsia="仿宋_GB2312"/>
          <w:color w:val="000000" w:themeColor="text1"/>
          <w:sz w:val="32"/>
          <w:szCs w:val="32"/>
          <w:highlight w:val="none"/>
          <w:lang w:eastAsia="zh-CN"/>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外贸进出口纳入区统计、具有独立法人资格、合法经营的企业。</w:t>
      </w:r>
    </w:p>
    <w:p>
      <w:pPr>
        <w:snapToGrid w:val="0"/>
        <w:spacing w:line="480" w:lineRule="exact"/>
        <w:ind w:firstLine="642" w:firstLineChars="200"/>
        <w:outlineLvl w:val="9"/>
        <w:rPr>
          <w:rFonts w:eastAsia="仿宋_GB2312"/>
          <w:bCs/>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第十条 支持企业参展开拓市场。</w:t>
      </w:r>
      <w:r>
        <w:rPr>
          <w:rFonts w:eastAsia="仿宋_GB2312"/>
          <w:bCs/>
          <w:color w:val="000000" w:themeColor="text1"/>
          <w:sz w:val="32"/>
          <w:szCs w:val="32"/>
          <w14:textFill>
            <w14:solidFill>
              <w14:schemeClr w14:val="tx1"/>
            </w14:solidFill>
          </w14:textFill>
        </w:rPr>
        <w:t>重点支持出口产品为农产品、服装、手工艺品、汽车配件、仪器设备、技术支持服务等出口企业，支持方向如下：</w:t>
      </w:r>
    </w:p>
    <w:p>
      <w:pPr>
        <w:pStyle w:val="2"/>
        <w:snapToGrid w:val="0"/>
        <w:spacing w:after="0" w:line="4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（一）</w:t>
      </w:r>
      <w:r>
        <w:rPr>
          <w:rFonts w:ascii="Times New Roman" w:hAnsi="Times New Roman" w:eastAsia="仿宋_GB2312"/>
          <w:color w:val="000000" w:themeColor="text1"/>
          <w:sz w:val="32"/>
          <w:szCs w:val="32"/>
          <w14:textFill>
            <w14:solidFill>
              <w14:schemeClr w14:val="tx1"/>
            </w14:solidFill>
          </w14:textFill>
        </w:rPr>
        <w:t>对企业本年度参加境内外的国际性展会（包括线上线下）的展位费、注册费、展位搭建费、大型展品回运费给予补贴。</w:t>
      </w:r>
    </w:p>
    <w:p>
      <w:pPr>
        <w:pStyle w:val="2"/>
        <w:snapToGrid w:val="0"/>
        <w:spacing w:after="0" w:line="4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（二）对企业进行境外</w:t>
      </w:r>
      <w:r>
        <w:rPr>
          <w:rFonts w:ascii="Times New Roman" w:hAnsi="Times New Roman" w:eastAsia="仿宋_GB2312"/>
          <w:bCs/>
          <w:color w:val="000000" w:themeColor="text1"/>
          <w:sz w:val="32"/>
          <w:szCs w:val="32"/>
          <w14:textFill>
            <w14:solidFill>
              <w14:schemeClr w14:val="tx1"/>
            </w14:solidFill>
          </w14:textFill>
        </w:rPr>
        <w:t>国际</w:t>
      </w:r>
      <w:r>
        <w:rPr>
          <w:rFonts w:ascii="Times New Roman" w:hAnsi="Times New Roman" w:eastAsia="仿宋_GB2312"/>
          <w:color w:val="000000" w:themeColor="text1"/>
          <w:sz w:val="32"/>
          <w:szCs w:val="32"/>
          <w14:textFill>
            <w14:solidFill>
              <w14:schemeClr w14:val="tx1"/>
            </w14:solidFill>
          </w14:textFill>
        </w:rPr>
        <w:t>市场考察给予交通费和生活补助费补贴。</w:t>
      </w:r>
    </w:p>
    <w:p>
      <w:pPr>
        <w:pStyle w:val="2"/>
        <w:snapToGrid w:val="0"/>
        <w:spacing w:after="0" w:line="4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对于符合（一）、（二）项支持内容且支出金额大于3万元人民币（含3万元）的项目予以支持，单体企业支持比例不超过项目支出总额的50%，企业单个项目支持金额不超过10万元人民币；单体企业本年度累计支持金额不超过20万元人民币。连续两年获得资金支持仍无出口业绩者，第三年暂停申报。</w:t>
      </w:r>
    </w:p>
    <w:p>
      <w:pPr>
        <w:snapToGrid w:val="0"/>
        <w:spacing w:line="480" w:lineRule="exact"/>
        <w:ind w:firstLine="642" w:firstLineChars="200"/>
        <w:outlineLvl w:val="9"/>
        <w:rPr>
          <w:color w:val="000000" w:themeColor="text1"/>
          <w:highlight w:val="none"/>
          <w14:textFill>
            <w14:solidFill>
              <w14:schemeClr w14:val="tx1"/>
            </w14:solidFill>
          </w14:textFill>
        </w:rPr>
      </w:pPr>
      <w:r>
        <w:rPr>
          <w:rFonts w:hint="default" w:ascii="Times New Roman" w:hAnsi="Times New Roman" w:eastAsia="仿宋_GB2312" w:cs="Times New Roman"/>
          <w:b/>
          <w:bCs/>
          <w:i w:val="0"/>
          <w:caps w:val="0"/>
          <w:color w:val="000000" w:themeColor="text1"/>
          <w:spacing w:val="0"/>
          <w:sz w:val="32"/>
          <w:szCs w:val="32"/>
          <w:highlight w:val="none"/>
          <w:u w:val="none"/>
          <w:shd w:val="clear" w:color="auto" w:fill="FFFFFF"/>
          <w:lang w:eastAsia="zh-CN"/>
          <w14:textFill>
            <w14:solidFill>
              <w14:schemeClr w14:val="tx1"/>
            </w14:solidFill>
          </w14:textFill>
        </w:rPr>
        <w:t>第十一条</w:t>
      </w:r>
      <w:r>
        <w:rPr>
          <w:rFonts w:hint="default" w:ascii="Times New Roman" w:hAnsi="Times New Roman" w:eastAsia="仿宋_GB2312" w:cs="Times New Roman"/>
          <w:b/>
          <w:bCs/>
          <w:i w:val="0"/>
          <w:caps w:val="0"/>
          <w:color w:val="000000" w:themeColor="text1"/>
          <w:spacing w:val="0"/>
          <w:sz w:val="32"/>
          <w:szCs w:val="32"/>
          <w:highlight w:val="none"/>
          <w:u w:val="none"/>
          <w:shd w:val="clear" w:color="auto" w:fill="FFFFFF"/>
          <w:lang w:val="en-US" w:eastAsia="zh-CN"/>
          <w14:textFill>
            <w14:solidFill>
              <w14:schemeClr w14:val="tx1"/>
            </w14:solidFill>
          </w14:textFill>
        </w:rPr>
        <w:t xml:space="preserve"> 促进企业国际化经营能力提升。</w:t>
      </w:r>
      <w:r>
        <w:rPr>
          <w:rFonts w:hint="default" w:ascii="Times New Roman" w:hAnsi="Times New Roman" w:eastAsia="仿宋_GB2312" w:cs="Times New Roman"/>
          <w:i w:val="0"/>
          <w:caps w:val="0"/>
          <w:color w:val="000000" w:themeColor="text1"/>
          <w:spacing w:val="0"/>
          <w:sz w:val="32"/>
          <w:szCs w:val="32"/>
          <w:highlight w:val="none"/>
          <w:u w:val="none"/>
          <w:shd w:val="clear" w:color="auto" w:fill="FFFFFF"/>
          <w14:textFill>
            <w14:solidFill>
              <w14:schemeClr w14:val="tx1"/>
            </w14:solidFill>
          </w14:textFill>
        </w:rPr>
        <w:t>对获得市级支持外贸企业提升国际化经营能力政策资金，且市级支持总额超过20万元的外贸企业，</w:t>
      </w:r>
      <w:r>
        <w:rPr>
          <w:rFonts w:hint="default" w:ascii="Times New Roman" w:hAnsi="Times New Roman" w:eastAsia="仿宋_GB2312" w:cs="Times New Roman"/>
          <w:i w:val="0"/>
          <w:caps w:val="0"/>
          <w:color w:val="000000" w:themeColor="text1"/>
          <w:spacing w:val="0"/>
          <w:sz w:val="32"/>
          <w:szCs w:val="32"/>
          <w:highlight w:val="none"/>
          <w:u w:val="none"/>
          <w:shd w:val="clear" w:color="auto" w:fill="FFFFFF"/>
          <w:lang w:eastAsia="zh-CN"/>
          <w14:textFill>
            <w14:solidFill>
              <w14:schemeClr w14:val="tx1"/>
            </w14:solidFill>
          </w14:textFill>
        </w:rPr>
        <w:t>给予</w:t>
      </w:r>
      <w:r>
        <w:rPr>
          <w:rFonts w:hint="default" w:ascii="Times New Roman" w:hAnsi="Times New Roman" w:eastAsia="仿宋_GB2312" w:cs="Times New Roman"/>
          <w:i w:val="0"/>
          <w:caps w:val="0"/>
          <w:color w:val="000000" w:themeColor="text1"/>
          <w:spacing w:val="0"/>
          <w:sz w:val="32"/>
          <w:szCs w:val="32"/>
          <w:highlight w:val="none"/>
          <w:u w:val="none"/>
          <w:shd w:val="clear" w:color="auto" w:fill="FFFFFF"/>
          <w:lang w:val="en-US" w:eastAsia="zh-CN"/>
          <w14:textFill>
            <w14:solidFill>
              <w14:schemeClr w14:val="tx1"/>
            </w14:solidFill>
          </w14:textFill>
        </w:rPr>
        <w:t>5万元一次性奖励。</w:t>
      </w:r>
    </w:p>
    <w:p>
      <w:pPr>
        <w:pStyle w:val="9"/>
        <w:keepNext w:val="0"/>
        <w:keepLines w:val="0"/>
        <w:widowControl/>
        <w:suppressLineNumbers w:val="0"/>
        <w:shd w:val="clear" w:fill="FFFFFF"/>
        <w:wordWrap/>
        <w:spacing w:before="0" w:beforeAutospacing="0" w:after="0" w:afterAutospacing="0"/>
        <w:ind w:left="0" w:right="0" w:firstLine="0"/>
        <w:jc w:val="left"/>
        <w:rPr>
          <w:rFonts w:hint="default" w:ascii="Times New Roman" w:hAnsi="Times New Roman" w:eastAsia="仿宋_GB2312" w:cs="Times New Roman"/>
          <w:i w:val="0"/>
          <w:caps w:val="0"/>
          <w:color w:val="000000" w:themeColor="text1"/>
          <w:spacing w:val="0"/>
          <w:kern w:val="2"/>
          <w:sz w:val="32"/>
          <w:szCs w:val="32"/>
          <w:highlight w:val="none"/>
          <w:u w:val="none"/>
          <w:shd w:val="clear" w:color="auto" w:fill="FFFFFF"/>
          <w:lang w:val="en-US" w:eastAsia="zh-CN" w:bidi="ar-SA"/>
          <w14:textFill>
            <w14:solidFill>
              <w14:schemeClr w14:val="tx1"/>
            </w14:solidFill>
          </w14:textFill>
        </w:rPr>
      </w:pPr>
      <w:r>
        <w:rPr>
          <w:rFonts w:hint="default" w:ascii="Times New Roman" w:hAnsi="Times New Roman" w:eastAsia="仿宋_GB2312" w:cs="Times New Roman"/>
          <w:b/>
          <w:color w:val="000000" w:themeColor="text1"/>
          <w:sz w:val="32"/>
          <w:szCs w:val="32"/>
          <w:lang w:eastAsia="zh-CN"/>
          <w14:textFill>
            <w14:solidFill>
              <w14:schemeClr w14:val="tx1"/>
            </w14:solidFill>
          </w14:textFill>
        </w:rPr>
        <w:t>　　</w:t>
      </w:r>
      <w:r>
        <w:rPr>
          <w:rFonts w:hint="default" w:ascii="Times New Roman" w:hAnsi="Times New Roman" w:eastAsia="仿宋_GB2312" w:cs="Times New Roman"/>
          <w:b/>
          <w:color w:val="000000" w:themeColor="text1"/>
          <w:sz w:val="32"/>
          <w:szCs w:val="32"/>
          <w14:textFill>
            <w14:solidFill>
              <w14:schemeClr w14:val="tx1"/>
            </w14:solidFill>
          </w14:textFill>
        </w:rPr>
        <w:t>第十</w:t>
      </w:r>
      <w:r>
        <w:rPr>
          <w:rFonts w:hint="default" w:ascii="Times New Roman" w:hAnsi="Times New Roman" w:eastAsia="仿宋_GB2312" w:cs="Times New Roman"/>
          <w:b/>
          <w:color w:val="000000" w:themeColor="text1"/>
          <w:sz w:val="32"/>
          <w:szCs w:val="32"/>
          <w:lang w:eastAsia="zh-CN"/>
          <w14:textFill>
            <w14:solidFill>
              <w14:schemeClr w14:val="tx1"/>
            </w14:solidFill>
          </w14:textFill>
        </w:rPr>
        <w:t>二</w:t>
      </w:r>
      <w:r>
        <w:rPr>
          <w:rFonts w:hint="default" w:ascii="Times New Roman" w:hAnsi="Times New Roman" w:eastAsia="仿宋_GB2312" w:cs="Times New Roman"/>
          <w:b/>
          <w:color w:val="000000" w:themeColor="text1"/>
          <w:sz w:val="32"/>
          <w:szCs w:val="32"/>
          <w14:textFill>
            <w14:solidFill>
              <w14:schemeClr w14:val="tx1"/>
            </w14:solidFill>
          </w14:textFill>
        </w:rPr>
        <w:t xml:space="preserve">条 </w:t>
      </w:r>
      <w:r>
        <w:rPr>
          <w:rFonts w:hint="default" w:ascii="Times New Roman" w:hAnsi="Times New Roman" w:eastAsia="仿宋_GB2312" w:cs="Times New Roman"/>
          <w:b/>
          <w:bCs/>
          <w:i w:val="0"/>
          <w:caps w:val="0"/>
          <w:color w:val="000000" w:themeColor="text1"/>
          <w:spacing w:val="0"/>
          <w:kern w:val="2"/>
          <w:sz w:val="32"/>
          <w:szCs w:val="32"/>
          <w:highlight w:val="none"/>
          <w:u w:val="none"/>
          <w:shd w:val="clear" w:color="auto" w:fill="FFFFFF"/>
          <w:lang w:val="en-US" w:eastAsia="zh-CN" w:bidi="ar-SA"/>
          <w14:textFill>
            <w14:solidFill>
              <w14:schemeClr w14:val="tx1"/>
            </w14:solidFill>
          </w14:textFill>
        </w:rPr>
        <w:t>鼓励进出口外贸企业办理人民币外汇衍生品业务。</w:t>
      </w:r>
      <w:r>
        <w:rPr>
          <w:rFonts w:hint="default" w:ascii="Times New Roman" w:hAnsi="Times New Roman" w:eastAsia="仿宋_GB2312" w:cs="Times New Roman"/>
          <w:i w:val="0"/>
          <w:caps w:val="0"/>
          <w:color w:val="000000" w:themeColor="text1"/>
          <w:spacing w:val="0"/>
          <w:kern w:val="2"/>
          <w:sz w:val="32"/>
          <w:szCs w:val="32"/>
          <w:highlight w:val="none"/>
          <w:u w:val="none"/>
          <w:shd w:val="clear" w:color="auto" w:fill="FFFFFF"/>
          <w:lang w:val="en-US" w:eastAsia="zh-CN" w:bidi="ar-SA"/>
          <w14:textFill>
            <w14:solidFill>
              <w14:schemeClr w14:val="tx1"/>
            </w14:solidFill>
          </w14:textFill>
        </w:rPr>
        <w:t>按照上一年度在银行办理的人民币外汇衍生品履约交易金额名义本金(人民币)的1‰给予一次性不超过2万元的奖励，具体产品范围包括远期结售汇、人民币外汇期权等。</w:t>
      </w:r>
    </w:p>
    <w:p>
      <w:pPr>
        <w:snapToGrid w:val="0"/>
        <w:spacing w:line="480" w:lineRule="exact"/>
        <w:ind w:firstLine="642" w:firstLineChars="200"/>
        <w:outlineLvl w:val="9"/>
        <w:rPr>
          <w:rFonts w:eastAsia="仿宋_GB2312"/>
          <w:bCs/>
          <w:color w:val="000000" w:themeColor="text1"/>
          <w:kern w:val="0"/>
          <w:sz w:val="32"/>
          <w:szCs w:val="32"/>
          <w:lang w:bidi="zh-CN"/>
          <w14:textFill>
            <w14:solidFill>
              <w14:schemeClr w14:val="tx1"/>
            </w14:solidFill>
          </w14:textFill>
        </w:rPr>
      </w:pPr>
      <w:r>
        <w:rPr>
          <w:rFonts w:hint="eastAsia" w:eastAsia="仿宋_GB2312"/>
          <w:b/>
          <w:bCs w:val="0"/>
          <w:color w:val="000000" w:themeColor="text1"/>
          <w:kern w:val="0"/>
          <w:sz w:val="32"/>
          <w:szCs w:val="32"/>
          <w:lang w:bidi="zh-CN"/>
          <w14:textFill>
            <w14:solidFill>
              <w14:schemeClr w14:val="tx1"/>
            </w14:solidFill>
          </w14:textFill>
        </w:rPr>
        <w:t>第十三条</w:t>
      </w:r>
      <w:r>
        <w:rPr>
          <w:rFonts w:eastAsia="仿宋_GB2312"/>
          <w:b/>
          <w:color w:val="000000" w:themeColor="text1"/>
          <w:sz w:val="32"/>
          <w:szCs w:val="32"/>
          <w14:textFill>
            <w14:solidFill>
              <w14:schemeClr w14:val="tx1"/>
            </w14:solidFill>
          </w14:textFill>
        </w:rPr>
        <w:t>支持我区特色农产品</w:t>
      </w:r>
      <w:r>
        <w:rPr>
          <w:rFonts w:hint="eastAsia" w:eastAsia="仿宋_GB2312"/>
          <w:b/>
          <w:color w:val="000000" w:themeColor="text1"/>
          <w:sz w:val="32"/>
          <w:szCs w:val="32"/>
          <w:lang w:eastAsia="zh-CN"/>
          <w14:textFill>
            <w14:solidFill>
              <w14:schemeClr w14:val="tx1"/>
            </w14:solidFill>
          </w14:textFill>
        </w:rPr>
        <w:t>（包括使用平谷区农产品的深加工产品）</w:t>
      </w:r>
      <w:r>
        <w:rPr>
          <w:rFonts w:eastAsia="仿宋_GB2312"/>
          <w:b/>
          <w:color w:val="000000" w:themeColor="text1"/>
          <w:sz w:val="32"/>
          <w:szCs w:val="32"/>
          <w14:textFill>
            <w14:solidFill>
              <w14:schemeClr w14:val="tx1"/>
            </w14:solidFill>
          </w14:textFill>
        </w:rPr>
        <w:t>出口。</w:t>
      </w:r>
      <w:r>
        <w:rPr>
          <w:rFonts w:eastAsia="仿宋_GB2312"/>
          <w:bCs/>
          <w:color w:val="000000" w:themeColor="text1"/>
          <w:kern w:val="0"/>
          <w:sz w:val="32"/>
          <w:szCs w:val="32"/>
          <w:lang w:bidi="zh-CN"/>
          <w14:textFill>
            <w14:solidFill>
              <w14:schemeClr w14:val="tx1"/>
            </w14:solidFill>
          </w14:textFill>
        </w:rPr>
        <w:t>降低企业农产品出口运输成本。对当年企业出口大桃等本地特色农产品产生的出口运输费用（包括出口海运费和出口空运费），按照</w:t>
      </w:r>
      <w:r>
        <w:rPr>
          <w:rFonts w:hint="eastAsia" w:eastAsia="仿宋_GB2312"/>
          <w:bCs/>
          <w:color w:val="000000" w:themeColor="text1"/>
          <w:kern w:val="0"/>
          <w:sz w:val="32"/>
          <w:szCs w:val="32"/>
          <w:lang w:bidi="zh-CN"/>
          <w14:textFill>
            <w14:solidFill>
              <w14:schemeClr w14:val="tx1"/>
            </w14:solidFill>
          </w14:textFill>
        </w:rPr>
        <w:t>不超过</w:t>
      </w:r>
      <w:r>
        <w:rPr>
          <w:rFonts w:eastAsia="仿宋_GB2312"/>
          <w:bCs/>
          <w:color w:val="000000" w:themeColor="text1"/>
          <w:kern w:val="0"/>
          <w:sz w:val="32"/>
          <w:szCs w:val="32"/>
          <w:lang w:bidi="zh-CN"/>
          <w14:textFill>
            <w14:solidFill>
              <w14:schemeClr w14:val="tx1"/>
            </w14:solidFill>
          </w14:textFill>
        </w:rPr>
        <w:t>当年发生费用的10%比例给予补贴。单一企业出口一种品类农产品本年度支持资金不超过3万元。</w:t>
      </w:r>
    </w:p>
    <w:p>
      <w:pPr>
        <w:snapToGrid w:val="0"/>
        <w:spacing w:line="480" w:lineRule="exact"/>
        <w:ind w:firstLine="642" w:firstLineChars="200"/>
        <w:outlineLvl w:val="9"/>
        <w:rPr>
          <w:rFonts w:hint="eastAsia" w:eastAsia="仿宋_GB2312"/>
          <w:bCs/>
          <w:color w:val="000000" w:themeColor="text1"/>
          <w:kern w:val="0"/>
          <w:sz w:val="32"/>
          <w:szCs w:val="32"/>
          <w:lang w:val="en-US" w:bidi="zh-CN"/>
          <w14:textFill>
            <w14:solidFill>
              <w14:schemeClr w14:val="tx1"/>
            </w14:solidFill>
          </w14:textFill>
        </w:rPr>
      </w:pPr>
      <w:r>
        <w:rPr>
          <w:rFonts w:hint="eastAsia" w:eastAsia="仿宋_GB2312"/>
          <w:b/>
          <w:bCs w:val="0"/>
          <w:color w:val="000000" w:themeColor="text1"/>
          <w:kern w:val="0"/>
          <w:sz w:val="32"/>
          <w:szCs w:val="32"/>
          <w:lang w:bidi="zh-CN"/>
          <w14:textFill>
            <w14:solidFill>
              <w14:schemeClr w14:val="tx1"/>
            </w14:solidFill>
          </w14:textFill>
        </w:rPr>
        <w:t>第十四条</w:t>
      </w:r>
      <w:r>
        <w:rPr>
          <w:rFonts w:hint="eastAsia" w:eastAsia="仿宋_GB2312"/>
          <w:b/>
          <w:bCs w:val="0"/>
          <w:color w:val="000000" w:themeColor="text1"/>
          <w:kern w:val="0"/>
          <w:sz w:val="32"/>
          <w:szCs w:val="32"/>
          <w:lang w:val="en-US" w:bidi="zh-CN"/>
          <w14:textFill>
            <w14:solidFill>
              <w14:schemeClr w14:val="tx1"/>
            </w14:solidFill>
          </w14:textFill>
        </w:rPr>
        <w:t xml:space="preserve"> 支持农业科技企业开展自主创新。</w:t>
      </w:r>
      <w:r>
        <w:rPr>
          <w:rFonts w:hint="eastAsia" w:eastAsia="仿宋_GB2312"/>
          <w:bCs/>
          <w:color w:val="000000" w:themeColor="text1"/>
          <w:kern w:val="0"/>
          <w:sz w:val="32"/>
          <w:szCs w:val="32"/>
          <w:lang w:val="en-US" w:bidi="zh-CN"/>
          <w14:textFill>
            <w14:solidFill>
              <w14:schemeClr w14:val="tx1"/>
            </w14:solidFill>
          </w14:textFill>
        </w:rPr>
        <w:t>围绕农业中关村建设，支持企业打破国外垄断自主培育新品种，对农业科技创新企业自主育种品种开拓国际市场给予资金奖励。自主育种品种首次出口当年度一次性给予企业</w:t>
      </w:r>
      <w:r>
        <w:rPr>
          <w:rFonts w:hint="default" w:eastAsia="仿宋_GB2312"/>
          <w:bCs/>
          <w:color w:val="000000" w:themeColor="text1"/>
          <w:kern w:val="0"/>
          <w:sz w:val="32"/>
          <w:szCs w:val="32"/>
          <w:lang w:val="en" w:bidi="zh-CN"/>
          <w14:textFill>
            <w14:solidFill>
              <w14:schemeClr w14:val="tx1"/>
            </w14:solidFill>
          </w14:textFill>
        </w:rPr>
        <w:t>5</w:t>
      </w:r>
      <w:r>
        <w:rPr>
          <w:rFonts w:hint="eastAsia" w:eastAsia="仿宋_GB2312"/>
          <w:bCs/>
          <w:color w:val="000000" w:themeColor="text1"/>
          <w:kern w:val="0"/>
          <w:sz w:val="32"/>
          <w:szCs w:val="32"/>
          <w:lang w:val="en-US" w:bidi="zh-CN"/>
          <w14:textFill>
            <w14:solidFill>
              <w14:schemeClr w14:val="tx1"/>
            </w14:solidFill>
          </w14:textFill>
        </w:rPr>
        <w:t>0万元奖励，自主育种品种第二年第三年连续出口的，每年给予企业一次性奖励</w:t>
      </w:r>
      <w:r>
        <w:rPr>
          <w:rFonts w:hint="default" w:eastAsia="仿宋_GB2312"/>
          <w:bCs/>
          <w:color w:val="000000" w:themeColor="text1"/>
          <w:kern w:val="0"/>
          <w:sz w:val="32"/>
          <w:szCs w:val="32"/>
          <w:lang w:val="en" w:bidi="zh-CN"/>
          <w14:textFill>
            <w14:solidFill>
              <w14:schemeClr w14:val="tx1"/>
            </w14:solidFill>
          </w14:textFill>
        </w:rPr>
        <w:t>2</w:t>
      </w:r>
      <w:r>
        <w:rPr>
          <w:rFonts w:hint="eastAsia" w:eastAsia="仿宋_GB2312"/>
          <w:bCs/>
          <w:color w:val="000000" w:themeColor="text1"/>
          <w:kern w:val="0"/>
          <w:sz w:val="32"/>
          <w:szCs w:val="32"/>
          <w:lang w:val="en-US" w:bidi="zh-CN"/>
          <w14:textFill>
            <w14:solidFill>
              <w14:schemeClr w14:val="tx1"/>
            </w14:solidFill>
          </w14:textFill>
        </w:rPr>
        <w:t>0万元。</w:t>
      </w:r>
    </w:p>
    <w:p>
      <w:pPr>
        <w:snapToGrid w:val="0"/>
        <w:spacing w:line="480" w:lineRule="exact"/>
        <w:ind w:firstLine="642" w:firstLineChars="200"/>
        <w:outlineLvl w:val="9"/>
        <w:rPr>
          <w:rFonts w:hint="default"/>
          <w:color w:val="000000" w:themeColor="text1"/>
          <w:lang w:val="en"/>
          <w14:textFill>
            <w14:solidFill>
              <w14:schemeClr w14:val="tx1"/>
            </w14:solidFill>
          </w14:textFill>
        </w:rPr>
      </w:pPr>
      <w:r>
        <w:rPr>
          <w:rFonts w:hint="eastAsia" w:eastAsia="仿宋_GB2312"/>
          <w:b/>
          <w:bCs w:val="0"/>
          <w:color w:val="000000" w:themeColor="text1"/>
          <w:kern w:val="0"/>
          <w:sz w:val="32"/>
          <w:szCs w:val="32"/>
          <w:lang w:bidi="zh-CN"/>
          <w14:textFill>
            <w14:solidFill>
              <w14:schemeClr w14:val="tx1"/>
            </w14:solidFill>
          </w14:textFill>
        </w:rPr>
        <w:t>第十五条</w:t>
      </w:r>
      <w:r>
        <w:rPr>
          <w:rFonts w:hint="eastAsia" w:eastAsia="仿宋_GB2312"/>
          <w:b/>
          <w:bCs w:val="0"/>
          <w:color w:val="000000" w:themeColor="text1"/>
          <w:kern w:val="0"/>
          <w:sz w:val="32"/>
          <w:szCs w:val="32"/>
          <w:lang w:val="en-US" w:bidi="zh-CN"/>
          <w14:textFill>
            <w14:solidFill>
              <w14:schemeClr w14:val="tx1"/>
            </w14:solidFill>
          </w14:textFill>
        </w:rPr>
        <w:t xml:space="preserve"> </w:t>
      </w:r>
      <w:r>
        <w:rPr>
          <w:rFonts w:hint="default" w:ascii="Times New Roman" w:hAnsi="Times New Roman" w:eastAsia="仿宋_GB2312" w:cs="Times New Roman"/>
          <w:b/>
          <w:bCs w:val="0"/>
          <w:color w:val="000000" w:themeColor="text1"/>
          <w:kern w:val="0"/>
          <w:sz w:val="32"/>
          <w:szCs w:val="32"/>
          <w:lang w:val="en-US" w:eastAsia="zh-CN" w:bidi="zh-CN"/>
          <w14:textFill>
            <w14:solidFill>
              <w14:schemeClr w14:val="tx1"/>
            </w14:solidFill>
          </w14:textFill>
        </w:rPr>
        <w:t>支持</w:t>
      </w: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企业开展对外直接投资。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企业境外投资项目在规定年度内直接投资额</w:t>
      </w:r>
      <w:r>
        <w:rPr>
          <w:rFonts w:hint="default" w:ascii="Times New Roman" w:hAnsi="Times New Roman" w:eastAsia="仿宋_GB2312" w:cs="Times New Roman"/>
          <w:color w:val="000000" w:themeColor="text1"/>
          <w:sz w:val="32"/>
          <w:szCs w:val="32"/>
          <w:lang w:val="en" w:eastAsia="zh-CN"/>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00</w:t>
      </w:r>
      <w:r>
        <w:rPr>
          <w:rFonts w:hint="default" w:ascii="Times New Roman" w:hAnsi="Times New Roman" w:eastAsia="仿宋_GB2312" w:cs="Times New Roman"/>
          <w:color w:val="000000" w:themeColor="text1"/>
          <w:sz w:val="32"/>
          <w:szCs w:val="32"/>
          <w:lang w:val="en" w:eastAsia="zh-CN"/>
          <w14:textFill>
            <w14:solidFill>
              <w14:schemeClr w14:val="tx1"/>
            </w14:solidFill>
          </w14:textFill>
        </w:rPr>
        <w:t>-500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万美元的，给予</w:t>
      </w:r>
      <w:r>
        <w:rPr>
          <w:rFonts w:hint="default" w:ascii="Times New Roman" w:hAnsi="Times New Roman" w:eastAsia="仿宋_GB2312" w:cs="Times New Roman"/>
          <w:color w:val="000000" w:themeColor="text1"/>
          <w:sz w:val="32"/>
          <w:szCs w:val="32"/>
          <w:lang w:val="en" w:eastAsia="zh-CN"/>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0万元人民币的一次性奖励</w:t>
      </w:r>
      <w:r>
        <w:rPr>
          <w:rFonts w:hint="default" w:ascii="Times New Roman" w:hAnsi="Times New Roman" w:eastAsia="仿宋_GB2312" w:cs="Times New Roman"/>
          <w:color w:val="000000" w:themeColor="text1"/>
          <w:sz w:val="32"/>
          <w:szCs w:val="32"/>
          <w:lang w:val="en"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企业境外投资项目在规定年度内直接投资额</w:t>
      </w:r>
      <w:r>
        <w:rPr>
          <w:rFonts w:hint="default" w:ascii="Times New Roman" w:hAnsi="Times New Roman" w:eastAsia="仿宋_GB2312" w:cs="Times New Roman"/>
          <w:color w:val="000000" w:themeColor="text1"/>
          <w:sz w:val="32"/>
          <w:szCs w:val="32"/>
          <w:lang w:val="en" w:eastAsia="zh-CN"/>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00</w:t>
      </w:r>
      <w:r>
        <w:rPr>
          <w:rFonts w:hint="default" w:ascii="Times New Roman" w:hAnsi="Times New Roman" w:eastAsia="仿宋_GB2312" w:cs="Times New Roman"/>
          <w:color w:val="000000" w:themeColor="text1"/>
          <w:sz w:val="32"/>
          <w:szCs w:val="32"/>
          <w:lang w:val="en" w:eastAsia="zh-CN"/>
          <w14:textFill>
            <w14:solidFill>
              <w14:schemeClr w14:val="tx1"/>
            </w14:solidFill>
          </w14:textFill>
        </w:rPr>
        <w:t>（含）-1000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万美元的，给予</w:t>
      </w:r>
      <w:r>
        <w:rPr>
          <w:rFonts w:hint="default" w:ascii="Times New Roman" w:hAnsi="Times New Roman" w:eastAsia="仿宋_GB2312" w:cs="Times New Roman"/>
          <w:color w:val="000000" w:themeColor="text1"/>
          <w:sz w:val="32"/>
          <w:szCs w:val="32"/>
          <w:lang w:val="en" w:eastAsia="zh-CN"/>
          <w14:textFill>
            <w14:solidFill>
              <w14:schemeClr w14:val="tx1"/>
            </w14:solidFill>
          </w14:textFill>
        </w:rPr>
        <w:t>3</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0万元人民币的一次性奖励</w:t>
      </w:r>
      <w:r>
        <w:rPr>
          <w:rFonts w:hint="default" w:ascii="Times New Roman" w:hAnsi="Times New Roman" w:eastAsia="仿宋_GB2312" w:cs="Times New Roman"/>
          <w:color w:val="000000" w:themeColor="text1"/>
          <w:sz w:val="32"/>
          <w:szCs w:val="32"/>
          <w:lang w:val="en"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企业境外投资项目在规定年度内直接投资额</w:t>
      </w:r>
      <w:r>
        <w:rPr>
          <w:rFonts w:hint="default" w:ascii="Times New Roman" w:hAnsi="Times New Roman" w:eastAsia="仿宋_GB2312" w:cs="Times New Roman"/>
          <w:color w:val="000000" w:themeColor="text1"/>
          <w:sz w:val="32"/>
          <w:szCs w:val="32"/>
          <w:lang w:val="en" w:eastAsia="zh-CN"/>
          <w14:textFill>
            <w14:solidFill>
              <w14:schemeClr w14:val="tx1"/>
            </w14:solidFill>
          </w14:textFill>
        </w:rPr>
        <w:t>1000（含）</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万美元以上的，给予</w:t>
      </w:r>
      <w:r>
        <w:rPr>
          <w:rFonts w:hint="default" w:ascii="Times New Roman" w:hAnsi="Times New Roman" w:eastAsia="仿宋_GB2312" w:cs="Times New Roman"/>
          <w:color w:val="000000" w:themeColor="text1"/>
          <w:sz w:val="32"/>
          <w:szCs w:val="32"/>
          <w:lang w:val="en" w:eastAsia="zh-CN"/>
          <w14:textFill>
            <w14:solidFill>
              <w14:schemeClr w14:val="tx1"/>
            </w14:solidFill>
          </w14:textFill>
        </w:rPr>
        <w:t>50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万元人民币的一次性奖励</w:t>
      </w:r>
      <w:r>
        <w:rPr>
          <w:rFonts w:hint="default" w:ascii="Times New Roman" w:hAnsi="Times New Roman" w:eastAsia="仿宋_GB2312" w:cs="Times New Roman"/>
          <w:color w:val="000000" w:themeColor="text1"/>
          <w:sz w:val="32"/>
          <w:szCs w:val="32"/>
          <w:lang w:val="en" w:eastAsia="zh-CN"/>
          <w14:textFill>
            <w14:solidFill>
              <w14:schemeClr w14:val="tx1"/>
            </w14:solidFill>
          </w14:textFill>
        </w:rPr>
        <w:t>。</w:t>
      </w:r>
    </w:p>
    <w:p>
      <w:pPr>
        <w:snapToGrid w:val="0"/>
        <w:spacing w:line="480" w:lineRule="exact"/>
        <w:ind w:firstLine="642" w:firstLineChars="200"/>
        <w:outlineLvl w:val="9"/>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第十</w:t>
      </w:r>
      <w:r>
        <w:rPr>
          <w:rFonts w:hint="eastAsia" w:eastAsia="仿宋_GB2312"/>
          <w:b/>
          <w:color w:val="000000" w:themeColor="text1"/>
          <w:sz w:val="32"/>
          <w:szCs w:val="32"/>
          <w:lang w:eastAsia="zh-CN"/>
          <w14:textFill>
            <w14:solidFill>
              <w14:schemeClr w14:val="tx1"/>
            </w14:solidFill>
          </w14:textFill>
        </w:rPr>
        <w:t>六</w:t>
      </w:r>
      <w:r>
        <w:rPr>
          <w:rFonts w:eastAsia="仿宋_GB2312"/>
          <w:b/>
          <w:color w:val="000000" w:themeColor="text1"/>
          <w:sz w:val="32"/>
          <w:szCs w:val="32"/>
          <w14:textFill>
            <w14:solidFill>
              <w14:schemeClr w14:val="tx1"/>
            </w14:solidFill>
          </w14:textFill>
        </w:rPr>
        <w:t>条 做好出口退（免）税服务。</w:t>
      </w:r>
      <w:r>
        <w:rPr>
          <w:rFonts w:eastAsia="仿宋_GB2312"/>
          <w:bCs/>
          <w:color w:val="000000" w:themeColor="text1"/>
          <w:sz w:val="32"/>
          <w:szCs w:val="32"/>
          <w14:textFill>
            <w14:solidFill>
              <w14:schemeClr w14:val="tx1"/>
            </w14:solidFill>
          </w14:textFill>
        </w:rPr>
        <w:t>区</w:t>
      </w:r>
      <w:r>
        <w:rPr>
          <w:rFonts w:eastAsia="仿宋_GB2312"/>
          <w:color w:val="000000" w:themeColor="text1"/>
          <w:sz w:val="32"/>
          <w:szCs w:val="32"/>
          <w14:textFill>
            <w14:solidFill>
              <w14:schemeClr w14:val="tx1"/>
            </w14:solidFill>
          </w14:textFill>
        </w:rPr>
        <w:t>税务局加强相关政策宣传辅导，优化出口退（免）税服务管理，缩短办理退税时间，便于出口企业及时、足额获取出口退税款。落实好企业研发费用</w:t>
      </w:r>
      <w:r>
        <w:rPr>
          <w:rFonts w:eastAsia="仿宋_GB2312"/>
          <w:color w:val="000000" w:themeColor="text1"/>
          <w:sz w:val="32"/>
          <w:szCs w:val="32"/>
          <w:highlight w:val="none"/>
          <w14:textFill>
            <w14:solidFill>
              <w14:schemeClr w14:val="tx1"/>
            </w14:solidFill>
          </w14:textFill>
        </w:rPr>
        <w:t>税前加计扣除政策，</w:t>
      </w:r>
      <w:r>
        <w:rPr>
          <w:rFonts w:eastAsia="仿宋_GB2312"/>
          <w:color w:val="000000" w:themeColor="text1"/>
          <w:sz w:val="32"/>
          <w:szCs w:val="32"/>
          <w14:textFill>
            <w14:solidFill>
              <w14:schemeClr w14:val="tx1"/>
            </w14:solidFill>
          </w14:textFill>
        </w:rPr>
        <w:t>支持外贸企业开展科技创新。</w:t>
      </w:r>
    </w:p>
    <w:p>
      <w:pPr>
        <w:snapToGrid w:val="0"/>
        <w:spacing w:line="480" w:lineRule="exact"/>
        <w:ind w:firstLine="642" w:firstLineChars="200"/>
        <w:outlineLvl w:val="9"/>
        <w:rPr>
          <w:rFonts w:eastAsia="仿宋_GB2312"/>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第</w:t>
      </w:r>
      <w:r>
        <w:rPr>
          <w:rFonts w:hint="eastAsia" w:eastAsia="仿宋_GB2312"/>
          <w:b/>
          <w:bCs/>
          <w:color w:val="000000" w:themeColor="text1"/>
          <w:sz w:val="32"/>
          <w:szCs w:val="32"/>
          <w:lang w:eastAsia="zh-CN"/>
          <w14:textFill>
            <w14:solidFill>
              <w14:schemeClr w14:val="tx1"/>
            </w14:solidFill>
          </w14:textFill>
        </w:rPr>
        <w:t>十七</w:t>
      </w:r>
      <w:r>
        <w:rPr>
          <w:rFonts w:eastAsia="仿宋_GB2312"/>
          <w:b/>
          <w:bCs/>
          <w:color w:val="000000" w:themeColor="text1"/>
          <w:sz w:val="32"/>
          <w:szCs w:val="32"/>
          <w14:textFill>
            <w14:solidFill>
              <w14:schemeClr w14:val="tx1"/>
            </w14:solidFill>
          </w14:textFill>
        </w:rPr>
        <w:t>条 提升通关服务便利化水平。</w:t>
      </w:r>
      <w:r>
        <w:rPr>
          <w:rFonts w:eastAsia="仿宋_GB2312"/>
          <w:color w:val="000000" w:themeColor="text1"/>
          <w:sz w:val="32"/>
          <w:szCs w:val="32"/>
          <w14:textFill>
            <w14:solidFill>
              <w14:schemeClr w14:val="tx1"/>
            </w14:solidFill>
          </w14:textFill>
        </w:rPr>
        <w:t>持续用好国际贸易“单一窗口”服务功能，继续落实精简报关随附单证的相关措施，提升进出口检验检疫审批速度，提升通关无纸化水平。</w:t>
      </w:r>
    </w:p>
    <w:p>
      <w:pPr>
        <w:snapToGrid w:val="0"/>
        <w:spacing w:line="480" w:lineRule="exact"/>
        <w:ind w:firstLine="642" w:firstLineChars="200"/>
        <w:outlineLvl w:val="9"/>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第</w:t>
      </w:r>
      <w:r>
        <w:rPr>
          <w:rFonts w:hint="eastAsia" w:eastAsia="仿宋_GB2312"/>
          <w:b/>
          <w:color w:val="000000" w:themeColor="text1"/>
          <w:sz w:val="32"/>
          <w:szCs w:val="32"/>
          <w:lang w:eastAsia="zh-CN"/>
          <w14:textFill>
            <w14:solidFill>
              <w14:schemeClr w14:val="tx1"/>
            </w14:solidFill>
          </w14:textFill>
        </w:rPr>
        <w:t>十八</w:t>
      </w:r>
      <w:r>
        <w:rPr>
          <w:rFonts w:eastAsia="仿宋_GB2312"/>
          <w:b/>
          <w:color w:val="000000" w:themeColor="text1"/>
          <w:sz w:val="32"/>
          <w:szCs w:val="32"/>
          <w14:textFill>
            <w14:solidFill>
              <w14:schemeClr w14:val="tx1"/>
            </w14:solidFill>
          </w14:textFill>
        </w:rPr>
        <w:t>条 优化企业融资环境。</w:t>
      </w:r>
      <w:r>
        <w:rPr>
          <w:rFonts w:eastAsia="仿宋_GB2312"/>
          <w:color w:val="000000" w:themeColor="text1"/>
          <w:sz w:val="32"/>
          <w:szCs w:val="32"/>
          <w14:textFill>
            <w14:solidFill>
              <w14:schemeClr w14:val="tx1"/>
            </w14:solidFill>
          </w14:textFill>
        </w:rPr>
        <w:t>搭建银企对接平台，推动银行、证券、保险、股权投资等金融机构加大对外贸中小企业的融资支持。</w:t>
      </w:r>
    </w:p>
    <w:p>
      <w:pPr>
        <w:snapToGrid w:val="0"/>
        <w:spacing w:line="480" w:lineRule="exact"/>
        <w:ind w:firstLine="642" w:firstLineChars="200"/>
        <w:outlineLvl w:val="9"/>
        <w:rPr>
          <w:rFonts w:eastAsia="仿宋_GB2312"/>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第</w:t>
      </w:r>
      <w:r>
        <w:rPr>
          <w:rFonts w:hint="eastAsia" w:eastAsia="仿宋_GB2312"/>
          <w:b/>
          <w:bCs/>
          <w:color w:val="000000" w:themeColor="text1"/>
          <w:sz w:val="32"/>
          <w:szCs w:val="32"/>
          <w:lang w:eastAsia="zh-CN"/>
          <w14:textFill>
            <w14:solidFill>
              <w14:schemeClr w14:val="tx1"/>
            </w14:solidFill>
          </w14:textFill>
        </w:rPr>
        <w:t>十九</w:t>
      </w:r>
      <w:r>
        <w:rPr>
          <w:rFonts w:eastAsia="仿宋_GB2312"/>
          <w:b/>
          <w:bCs/>
          <w:color w:val="000000" w:themeColor="text1"/>
          <w:sz w:val="32"/>
          <w:szCs w:val="32"/>
          <w14:textFill>
            <w14:solidFill>
              <w14:schemeClr w14:val="tx1"/>
            </w14:solidFill>
          </w14:textFill>
        </w:rPr>
        <w:t>条 做好人才支持工作。</w:t>
      </w:r>
      <w:r>
        <w:rPr>
          <w:rFonts w:eastAsia="仿宋_GB2312"/>
          <w:color w:val="000000" w:themeColor="text1"/>
          <w:sz w:val="32"/>
          <w:szCs w:val="32"/>
          <w14:textFill>
            <w14:solidFill>
              <w14:schemeClr w14:val="tx1"/>
            </w14:solidFill>
          </w14:textFill>
        </w:rPr>
        <w:t>对符合条件的区内外贸人才，按照《平谷区高质量发展人才汇聚计划（汇谷计划）实施办法》相关政策执行。</w:t>
      </w:r>
    </w:p>
    <w:p>
      <w:pPr>
        <w:pStyle w:val="2"/>
        <w:snapToGrid w:val="0"/>
        <w:spacing w:after="0" w:line="480" w:lineRule="exact"/>
        <w:jc w:val="center"/>
        <w:rPr>
          <w:rFonts w:hint="default" w:ascii="Times New Roman" w:hAnsi="Times New Roman" w:eastAsia="黑体" w:cs="Times New Roman"/>
          <w:color w:val="000000" w:themeColor="text1"/>
          <w:sz w:val="32"/>
          <w:szCs w:val="32"/>
          <w14:textFill>
            <w14:solidFill>
              <w14:schemeClr w14:val="tx1"/>
            </w14:solidFill>
          </w14:textFill>
        </w:rPr>
      </w:pPr>
    </w:p>
    <w:p>
      <w:pPr>
        <w:pStyle w:val="2"/>
        <w:snapToGrid w:val="0"/>
        <w:spacing w:after="0" w:line="480" w:lineRule="exact"/>
        <w:jc w:val="center"/>
        <w:rPr>
          <w:rFonts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第四章 申报流程</w:t>
      </w:r>
    </w:p>
    <w:p>
      <w:pPr>
        <w:snapToGrid w:val="0"/>
        <w:spacing w:line="480" w:lineRule="exact"/>
        <w:ind w:firstLine="642" w:firstLineChars="200"/>
        <w:rPr>
          <w:rFonts w:ascii="Times New Roman" w:hAnsi="Times New Roman" w:eastAsia="仿宋_GB2312" w:cs="Times New Roman"/>
          <w:b/>
          <w:bCs/>
          <w:color w:val="000000" w:themeColor="text1"/>
          <w:sz w:val="32"/>
          <w:szCs w:val="32"/>
          <w14:textFill>
            <w14:solidFill>
              <w14:schemeClr w14:val="tx1"/>
            </w14:solidFill>
          </w14:textFill>
        </w:rPr>
      </w:pPr>
    </w:p>
    <w:p>
      <w:pPr>
        <w:snapToGrid w:val="0"/>
        <w:spacing w:line="480" w:lineRule="exact"/>
        <w:ind w:firstLine="642"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第二十条 发布公告。</w:t>
      </w:r>
      <w:r>
        <w:rPr>
          <w:rFonts w:ascii="Times New Roman" w:hAnsi="Times New Roman" w:eastAsia="仿宋_GB2312" w:cs="Times New Roman"/>
          <w:color w:val="000000" w:themeColor="text1"/>
          <w:sz w:val="32"/>
          <w:szCs w:val="32"/>
          <w14:textFill>
            <w14:solidFill>
              <w14:schemeClr w14:val="tx1"/>
            </w14:solidFill>
          </w14:textFill>
        </w:rPr>
        <w:t>区商务局每年发布项目征集公告，明确申报流程及申报条件，并向社会公开发布。</w:t>
      </w:r>
    </w:p>
    <w:p>
      <w:pPr>
        <w:snapToGrid w:val="0"/>
        <w:spacing w:line="48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第二十</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一</w:t>
      </w:r>
      <w:r>
        <w:rPr>
          <w:rFonts w:ascii="Times New Roman" w:hAnsi="Times New Roman" w:eastAsia="仿宋_GB2312" w:cs="Times New Roman"/>
          <w:b/>
          <w:bCs/>
          <w:color w:val="000000" w:themeColor="text1"/>
          <w:sz w:val="32"/>
          <w:szCs w:val="32"/>
          <w14:textFill>
            <w14:solidFill>
              <w14:schemeClr w14:val="tx1"/>
            </w14:solidFill>
          </w14:textFill>
        </w:rPr>
        <w:t>条 项目申报。</w:t>
      </w:r>
      <w:r>
        <w:rPr>
          <w:rFonts w:ascii="Times New Roman" w:hAnsi="Times New Roman" w:eastAsia="仿宋_GB2312" w:cs="Times New Roman"/>
          <w:color w:val="000000" w:themeColor="text1"/>
          <w:sz w:val="32"/>
          <w:szCs w:val="32"/>
          <w14:textFill>
            <w14:solidFill>
              <w14:schemeClr w14:val="tx1"/>
            </w14:solidFill>
          </w14:textFill>
        </w:rPr>
        <w:t>申报单位按照要求报送项目申报材料并报送至区商务局，区商务局进行初审。</w:t>
      </w:r>
    </w:p>
    <w:p>
      <w:pPr>
        <w:snapToGrid w:val="0"/>
        <w:spacing w:line="480" w:lineRule="exact"/>
        <w:ind w:firstLine="642" w:firstLineChars="200"/>
        <w:rPr>
          <w:rFonts w:ascii="Times New Roman" w:hAnsi="Times New Roman" w:eastAsia="仿宋_GB2312" w:cs="Times New Roman"/>
          <w:b/>
          <w:bCs/>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第二十</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二</w:t>
      </w:r>
      <w:r>
        <w:rPr>
          <w:rFonts w:ascii="Times New Roman" w:hAnsi="Times New Roman" w:eastAsia="仿宋_GB2312" w:cs="Times New Roman"/>
          <w:b/>
          <w:bCs/>
          <w:color w:val="000000" w:themeColor="text1"/>
          <w:sz w:val="32"/>
          <w:szCs w:val="32"/>
          <w14:textFill>
            <w14:solidFill>
              <w14:schemeClr w14:val="tx1"/>
            </w14:solidFill>
          </w14:textFill>
        </w:rPr>
        <w:t>条 评审和资金拨付。</w:t>
      </w:r>
      <w:r>
        <w:rPr>
          <w:rFonts w:ascii="Times New Roman" w:hAnsi="Times New Roman" w:eastAsia="仿宋_GB2312" w:cs="Times New Roman"/>
          <w:color w:val="000000" w:themeColor="text1"/>
          <w:sz w:val="32"/>
          <w:szCs w:val="32"/>
          <w14:textFill>
            <w14:solidFill>
              <w14:schemeClr w14:val="tx1"/>
            </w14:solidFill>
          </w14:textFill>
        </w:rPr>
        <w:t>区财政局对通过初审的项目进行专家评审，最终确定符合奖励条件的项目，评审结果在相关门户网站进行公示。公示期满后，对</w:t>
      </w:r>
      <w:r>
        <w:rPr>
          <w:rFonts w:ascii="Times New Roman" w:hAnsi="Times New Roman" w:eastAsia="仿宋_GB2312" w:cs="Times New Roman"/>
          <w:color w:val="000000" w:themeColor="text1"/>
          <w:sz w:val="32"/>
          <w:szCs w:val="32"/>
          <w:highlight w:val="none"/>
          <w14:textFill>
            <w14:solidFill>
              <w14:schemeClr w14:val="tx1"/>
            </w14:solidFill>
          </w14:textFill>
        </w:rPr>
        <w:t>公示结果</w:t>
      </w:r>
      <w:r>
        <w:rPr>
          <w:rFonts w:ascii="Times New Roman" w:hAnsi="Times New Roman" w:eastAsia="仿宋_GB2312" w:cs="Times New Roman"/>
          <w:color w:val="000000" w:themeColor="text1"/>
          <w:sz w:val="32"/>
          <w:szCs w:val="32"/>
          <w14:textFill>
            <w14:solidFill>
              <w14:schemeClr w14:val="tx1"/>
            </w14:solidFill>
          </w14:textFill>
        </w:rPr>
        <w:t>无异议的项目，履行资金拨付程序。</w:t>
      </w:r>
    </w:p>
    <w:p>
      <w:pPr>
        <w:pStyle w:val="10"/>
        <w:snapToGrid w:val="0"/>
        <w:spacing w:before="0" w:beforeAutospacing="0" w:after="0" w:afterAutospacing="0" w:line="480" w:lineRule="exact"/>
        <w:jc w:val="center"/>
        <w:outlineLvl w:val="9"/>
        <w:rPr>
          <w:rFonts w:hint="eastAsia" w:ascii="Times New Roman" w:hAnsi="Times New Roman" w:eastAsia="黑体" w:cs="Times New Roman"/>
          <w:color w:val="000000" w:themeColor="text1"/>
          <w:sz w:val="32"/>
          <w:szCs w:val="32"/>
          <w14:textFill>
            <w14:solidFill>
              <w14:schemeClr w14:val="tx1"/>
            </w14:solidFill>
          </w14:textFill>
        </w:rPr>
      </w:pPr>
    </w:p>
    <w:p>
      <w:pPr>
        <w:pStyle w:val="10"/>
        <w:snapToGrid w:val="0"/>
        <w:spacing w:before="0" w:beforeAutospacing="0" w:after="0" w:afterAutospacing="0" w:line="480" w:lineRule="exact"/>
        <w:jc w:val="center"/>
        <w:outlineLvl w:val="9"/>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第五章</w:t>
      </w:r>
      <w:r>
        <w:rPr>
          <w:rFonts w:ascii="Times New Roman" w:hAnsi="Times New Roman" w:eastAsia="黑体" w:cs="Times New Roman"/>
          <w:color w:val="000000" w:themeColor="text1"/>
          <w:sz w:val="32"/>
          <w:szCs w:val="32"/>
          <w14:textFill>
            <w14:solidFill>
              <w14:schemeClr w14:val="tx1"/>
            </w14:solidFill>
          </w14:textFill>
        </w:rPr>
        <w:t xml:space="preserve"> </w:t>
      </w:r>
      <w:r>
        <w:rPr>
          <w:rFonts w:hint="eastAsia" w:ascii="Times New Roman" w:hAnsi="Times New Roman" w:eastAsia="黑体" w:cs="Times New Roman"/>
          <w:color w:val="000000" w:themeColor="text1"/>
          <w:sz w:val="32"/>
          <w:szCs w:val="32"/>
          <w14:textFill>
            <w14:solidFill>
              <w14:schemeClr w14:val="tx1"/>
            </w14:solidFill>
          </w14:textFill>
        </w:rPr>
        <w:t>工作要求</w:t>
      </w:r>
    </w:p>
    <w:p>
      <w:pPr>
        <w:snapToGrid w:val="0"/>
        <w:spacing w:line="480" w:lineRule="exact"/>
        <w:ind w:firstLine="642" w:firstLineChars="200"/>
        <w:outlineLvl w:val="9"/>
        <w:rPr>
          <w:rFonts w:eastAsia="仿宋_GB2312"/>
          <w:b/>
          <w:color w:val="000000" w:themeColor="text1"/>
          <w:sz w:val="32"/>
          <w:szCs w:val="32"/>
          <w14:textFill>
            <w14:solidFill>
              <w14:schemeClr w14:val="tx1"/>
            </w14:solidFill>
          </w14:textFill>
        </w:rPr>
      </w:pPr>
    </w:p>
    <w:p>
      <w:pPr>
        <w:snapToGrid w:val="0"/>
        <w:spacing w:line="480" w:lineRule="exact"/>
        <w:ind w:firstLine="642" w:firstLineChars="200"/>
        <w:outlineLvl w:val="9"/>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第二十</w:t>
      </w:r>
      <w:r>
        <w:rPr>
          <w:rFonts w:hint="eastAsia" w:eastAsia="仿宋_GB2312"/>
          <w:b/>
          <w:color w:val="000000" w:themeColor="text1"/>
          <w:sz w:val="32"/>
          <w:szCs w:val="32"/>
          <w:lang w:eastAsia="zh-CN"/>
          <w14:textFill>
            <w14:solidFill>
              <w14:schemeClr w14:val="tx1"/>
            </w14:solidFill>
          </w14:textFill>
        </w:rPr>
        <w:t>三</w:t>
      </w:r>
      <w:r>
        <w:rPr>
          <w:rFonts w:eastAsia="仿宋_GB2312"/>
          <w:b/>
          <w:color w:val="000000" w:themeColor="text1"/>
          <w:sz w:val="32"/>
          <w:szCs w:val="32"/>
          <w14:textFill>
            <w14:solidFill>
              <w14:schemeClr w14:val="tx1"/>
            </w14:solidFill>
          </w14:textFill>
        </w:rPr>
        <w:t>条 申报企业要求。</w:t>
      </w:r>
      <w:r>
        <w:rPr>
          <w:rFonts w:eastAsia="仿宋_GB2312"/>
          <w:color w:val="000000" w:themeColor="text1"/>
          <w:sz w:val="32"/>
          <w:szCs w:val="32"/>
          <w14:textFill>
            <w14:solidFill>
              <w14:schemeClr w14:val="tx1"/>
            </w14:solidFill>
          </w14:textFill>
        </w:rPr>
        <w:t>各申报企业要确保申报材料内容真实、准确、完整，并接受有关部门的监督，如出现严重违法违规行为，财政部门要追回已经取得的项目资金，并连续三年取消其享受政策扶持的资格。触犯法律的依法追究其法律责任。</w:t>
      </w:r>
    </w:p>
    <w:p>
      <w:pPr>
        <w:snapToGrid w:val="0"/>
        <w:spacing w:line="48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有下列情形的不予支持：</w:t>
      </w:r>
    </w:p>
    <w:p>
      <w:pPr>
        <w:snapToGrid w:val="0"/>
        <w:spacing w:line="480" w:lineRule="exact"/>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（一）申报企业被列入《北京市新增产业的禁止和限制目录》禁止类和限制类范围的。</w:t>
      </w:r>
    </w:p>
    <w:p>
      <w:pPr>
        <w:snapToGrid w:val="0"/>
        <w:spacing w:line="480" w:lineRule="exact"/>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（二）申报企业被纳入北京市商务领域不良信用记录名单应受到“不予支持”信用惩戒或全市联合惩戒“黑名单”的。</w:t>
      </w:r>
    </w:p>
    <w:p>
      <w:pPr>
        <w:snapToGrid w:val="0"/>
        <w:spacing w:line="480" w:lineRule="exact"/>
        <w:ind w:firstLine="61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（三）项目已获得中央财政资金支持、市级财政资金或区级其他财政资金支持的。</w:t>
      </w:r>
    </w:p>
    <w:p>
      <w:pPr>
        <w:snapToGrid w:val="0"/>
        <w:spacing w:line="480" w:lineRule="exact"/>
        <w:ind w:firstLine="61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（四）申报企业近三年在外经贸业务管理、财务管理、税收管理、外汇管理、海关管理、统计管理等方面存在严重违法违规行为，拖欠应缴还财政性资金的。</w:t>
      </w:r>
    </w:p>
    <w:p>
      <w:pPr>
        <w:snapToGrid w:val="0"/>
        <w:spacing w:line="480" w:lineRule="exact"/>
        <w:ind w:firstLine="61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（五） 同一项目重复申请的；利用虚假材料和凭证骗取资金的；违反本办法及国家有关法律法规的其它行为。</w:t>
      </w:r>
    </w:p>
    <w:p>
      <w:pPr>
        <w:snapToGrid w:val="0"/>
        <w:spacing w:line="480" w:lineRule="exact"/>
        <w:ind w:firstLine="61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（六）经审议其他不予支持的。</w:t>
      </w:r>
    </w:p>
    <w:p>
      <w:pPr>
        <w:pStyle w:val="10"/>
        <w:snapToGrid w:val="0"/>
        <w:spacing w:before="0" w:beforeAutospacing="0" w:after="0" w:afterAutospacing="0" w:line="480" w:lineRule="exact"/>
        <w:jc w:val="center"/>
        <w:outlineLvl w:val="9"/>
        <w:rPr>
          <w:rFonts w:hint="eastAsia" w:ascii="Times New Roman" w:hAnsi="Times New Roman" w:eastAsia="黑体" w:cs="Times New Roman"/>
          <w:color w:val="000000" w:themeColor="text1"/>
          <w:sz w:val="32"/>
          <w:szCs w:val="32"/>
          <w14:textFill>
            <w14:solidFill>
              <w14:schemeClr w14:val="tx1"/>
            </w14:solidFill>
          </w14:textFill>
        </w:rPr>
      </w:pPr>
    </w:p>
    <w:p>
      <w:pPr>
        <w:pStyle w:val="10"/>
        <w:snapToGrid w:val="0"/>
        <w:spacing w:before="0" w:beforeAutospacing="0" w:after="0" w:afterAutospacing="0" w:line="480" w:lineRule="exact"/>
        <w:jc w:val="center"/>
        <w:outlineLvl w:val="9"/>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第六章</w:t>
      </w:r>
      <w:r>
        <w:rPr>
          <w:rFonts w:ascii="Times New Roman" w:hAnsi="Times New Roman" w:eastAsia="黑体" w:cs="Times New Roman"/>
          <w:color w:val="000000" w:themeColor="text1"/>
          <w:sz w:val="32"/>
          <w:szCs w:val="32"/>
          <w14:textFill>
            <w14:solidFill>
              <w14:schemeClr w14:val="tx1"/>
            </w14:solidFill>
          </w14:textFill>
        </w:rPr>
        <w:t xml:space="preserve"> </w:t>
      </w:r>
      <w:r>
        <w:rPr>
          <w:rFonts w:hint="eastAsia" w:ascii="Times New Roman" w:hAnsi="Times New Roman" w:eastAsia="黑体" w:cs="Times New Roman"/>
          <w:color w:val="000000" w:themeColor="text1"/>
          <w:sz w:val="32"/>
          <w:szCs w:val="32"/>
          <w14:textFill>
            <w14:solidFill>
              <w14:schemeClr w14:val="tx1"/>
            </w14:solidFill>
          </w14:textFill>
        </w:rPr>
        <w:t>附</w:t>
      </w:r>
      <w:r>
        <w:rPr>
          <w:rFonts w:ascii="Times New Roman" w:hAnsi="Times New Roman" w:eastAsia="黑体" w:cs="Times New Roman"/>
          <w:color w:val="000000" w:themeColor="text1"/>
          <w:sz w:val="32"/>
          <w:szCs w:val="32"/>
          <w14:textFill>
            <w14:solidFill>
              <w14:schemeClr w14:val="tx1"/>
            </w14:solidFill>
          </w14:textFill>
        </w:rPr>
        <w:t xml:space="preserve"> </w:t>
      </w:r>
      <w:r>
        <w:rPr>
          <w:rFonts w:hint="eastAsia" w:ascii="Times New Roman" w:hAnsi="Times New Roman" w:eastAsia="黑体" w:cs="Times New Roman"/>
          <w:color w:val="000000" w:themeColor="text1"/>
          <w:sz w:val="32"/>
          <w:szCs w:val="32"/>
          <w14:textFill>
            <w14:solidFill>
              <w14:schemeClr w14:val="tx1"/>
            </w14:solidFill>
          </w14:textFill>
        </w:rPr>
        <w:t>则</w:t>
      </w:r>
    </w:p>
    <w:p>
      <w:pPr>
        <w:snapToGrid w:val="0"/>
        <w:spacing w:line="480" w:lineRule="exact"/>
        <w:ind w:firstLine="642" w:firstLineChars="200"/>
        <w:outlineLvl w:val="9"/>
        <w:rPr>
          <w:rFonts w:eastAsia="仿宋_GB2312"/>
          <w:b/>
          <w:color w:val="000000" w:themeColor="text1"/>
          <w:sz w:val="32"/>
          <w:szCs w:val="32"/>
          <w14:textFill>
            <w14:solidFill>
              <w14:schemeClr w14:val="tx1"/>
            </w14:solidFill>
          </w14:textFill>
        </w:rPr>
      </w:pPr>
    </w:p>
    <w:p>
      <w:pPr>
        <w:snapToGrid w:val="0"/>
        <w:spacing w:line="480" w:lineRule="exact"/>
        <w:ind w:firstLine="642" w:firstLineChars="200"/>
        <w:outlineLvl w:val="9"/>
        <w:rPr>
          <w:rFonts w:eastAsia="仿宋_GB2312"/>
          <w:b w:val="0"/>
          <w:bCs/>
          <w:color w:val="000000" w:themeColor="text1"/>
          <w:sz w:val="32"/>
          <w:szCs w:val="32"/>
          <w14:textFill>
            <w14:solidFill>
              <w14:schemeClr w14:val="tx1"/>
            </w14:solidFill>
          </w14:textFill>
        </w:rPr>
      </w:pPr>
      <w:r>
        <w:rPr>
          <w:rFonts w:eastAsia="仿宋_GB2312"/>
          <w:b/>
          <w:bCs w:val="0"/>
          <w:color w:val="000000" w:themeColor="text1"/>
          <w:sz w:val="32"/>
          <w:szCs w:val="32"/>
          <w14:textFill>
            <w14:solidFill>
              <w14:schemeClr w14:val="tx1"/>
            </w14:solidFill>
          </w14:textFill>
        </w:rPr>
        <w:t>第二十</w:t>
      </w:r>
      <w:r>
        <w:rPr>
          <w:rFonts w:hint="eastAsia" w:eastAsia="仿宋_GB2312"/>
          <w:b/>
          <w:bCs w:val="0"/>
          <w:color w:val="000000" w:themeColor="text1"/>
          <w:sz w:val="32"/>
          <w:szCs w:val="32"/>
          <w:lang w:eastAsia="zh-CN"/>
          <w14:textFill>
            <w14:solidFill>
              <w14:schemeClr w14:val="tx1"/>
            </w14:solidFill>
          </w14:textFill>
        </w:rPr>
        <w:t>四</w:t>
      </w:r>
      <w:r>
        <w:rPr>
          <w:rFonts w:eastAsia="仿宋_GB2312"/>
          <w:b/>
          <w:bCs w:val="0"/>
          <w:color w:val="000000" w:themeColor="text1"/>
          <w:sz w:val="32"/>
          <w:szCs w:val="32"/>
          <w14:textFill>
            <w14:solidFill>
              <w14:schemeClr w14:val="tx1"/>
            </w14:solidFill>
          </w14:textFill>
        </w:rPr>
        <w:t>条</w:t>
      </w:r>
      <w:r>
        <w:rPr>
          <w:rFonts w:eastAsia="仿宋_GB2312"/>
          <w:b w:val="0"/>
          <w:bCs/>
          <w:color w:val="000000" w:themeColor="text1"/>
          <w:sz w:val="32"/>
          <w:szCs w:val="32"/>
          <w14:textFill>
            <w14:solidFill>
              <w14:schemeClr w14:val="tx1"/>
            </w14:solidFill>
          </w14:textFill>
        </w:rPr>
        <w:t xml:space="preserve"> 本办法所涉及支持资金，由区财政局统筹安排。</w:t>
      </w:r>
    </w:p>
    <w:p>
      <w:pPr>
        <w:snapToGrid w:val="0"/>
        <w:spacing w:line="480" w:lineRule="exact"/>
        <w:ind w:firstLine="642" w:firstLineChars="200"/>
        <w:rPr>
          <w:rFonts w:eastAsia="仿宋_GB2312"/>
          <w:color w:val="000000" w:themeColor="text1"/>
          <w:sz w:val="32"/>
          <w:szCs w:val="32"/>
          <w:u w:val="single"/>
          <w14:textFill>
            <w14:solidFill>
              <w14:schemeClr w14:val="tx1"/>
            </w14:solidFill>
          </w14:textFill>
        </w:rPr>
      </w:pPr>
      <w:r>
        <w:rPr>
          <w:rFonts w:eastAsia="仿宋_GB2312"/>
          <w:b/>
          <w:color w:val="000000" w:themeColor="text1"/>
          <w:sz w:val="32"/>
          <w:szCs w:val="32"/>
          <w14:textFill>
            <w14:solidFill>
              <w14:schemeClr w14:val="tx1"/>
            </w14:solidFill>
          </w14:textFill>
        </w:rPr>
        <w:t>第二十</w:t>
      </w:r>
      <w:r>
        <w:rPr>
          <w:rFonts w:hint="eastAsia" w:eastAsia="仿宋_GB2312"/>
          <w:b/>
          <w:color w:val="000000" w:themeColor="text1"/>
          <w:sz w:val="32"/>
          <w:szCs w:val="32"/>
          <w:lang w:eastAsia="zh-CN"/>
          <w14:textFill>
            <w14:solidFill>
              <w14:schemeClr w14:val="tx1"/>
            </w14:solidFill>
          </w14:textFill>
        </w:rPr>
        <w:t>五</w:t>
      </w:r>
      <w:r>
        <w:rPr>
          <w:rFonts w:eastAsia="仿宋_GB2312"/>
          <w:b/>
          <w:color w:val="000000" w:themeColor="text1"/>
          <w:sz w:val="32"/>
          <w:szCs w:val="32"/>
          <w14:textFill>
            <w14:solidFill>
              <w14:schemeClr w14:val="tx1"/>
            </w14:solidFill>
          </w14:textFill>
        </w:rPr>
        <w:t>条</w:t>
      </w:r>
      <w:r>
        <w:rPr>
          <w:rFonts w:eastAsia="仿宋_GB2312"/>
          <w:color w:val="000000" w:themeColor="text1"/>
          <w:sz w:val="32"/>
          <w:szCs w:val="32"/>
          <w14:textFill>
            <w14:solidFill>
              <w14:schemeClr w14:val="tx1"/>
            </w14:solidFill>
          </w14:textFill>
        </w:rPr>
        <w:t xml:space="preserve"> 本办法由区商务局负责解释并执行；区财政局按照职责对资金进行监督管理。</w:t>
      </w:r>
    </w:p>
    <w:p>
      <w:pPr>
        <w:snapToGrid w:val="0"/>
        <w:spacing w:line="480" w:lineRule="exact"/>
        <w:ind w:firstLine="642" w:firstLineChars="200"/>
        <w:outlineLvl w:val="9"/>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第二十</w:t>
      </w:r>
      <w:r>
        <w:rPr>
          <w:rFonts w:hint="eastAsia" w:eastAsia="仿宋_GB2312"/>
          <w:b/>
          <w:color w:val="000000" w:themeColor="text1"/>
          <w:sz w:val="32"/>
          <w:szCs w:val="32"/>
          <w:lang w:eastAsia="zh-CN"/>
          <w14:textFill>
            <w14:solidFill>
              <w14:schemeClr w14:val="tx1"/>
            </w14:solidFill>
          </w14:textFill>
        </w:rPr>
        <w:t>六</w:t>
      </w:r>
      <w:r>
        <w:rPr>
          <w:rFonts w:eastAsia="仿宋_GB2312"/>
          <w:b/>
          <w:color w:val="000000" w:themeColor="text1"/>
          <w:sz w:val="32"/>
          <w:szCs w:val="32"/>
          <w14:textFill>
            <w14:solidFill>
              <w14:schemeClr w14:val="tx1"/>
            </w14:solidFill>
          </w14:textFill>
        </w:rPr>
        <w:t>条</w:t>
      </w:r>
      <w:r>
        <w:rPr>
          <w:rFonts w:eastAsia="仿宋_GB2312"/>
          <w:color w:val="000000" w:themeColor="text1"/>
          <w:sz w:val="32"/>
          <w:szCs w:val="32"/>
          <w14:textFill>
            <w14:solidFill>
              <w14:schemeClr w14:val="tx1"/>
            </w14:solidFill>
          </w14:textFill>
        </w:rPr>
        <w:t xml:space="preserve"> 办法自发布之日起实施，有效期3年。</w:t>
      </w:r>
    </w:p>
    <w:p>
      <w:pPr>
        <w:pStyle w:val="2"/>
        <w:snapToGrid w:val="0"/>
        <w:spacing w:after="0" w:line="480" w:lineRule="exact"/>
        <w:rPr>
          <w:rFonts w:ascii="Times New Roman" w:hAnsi="Times New Roman" w:eastAsia="仿宋_GB2312"/>
          <w:color w:val="000000" w:themeColor="text1"/>
          <w:sz w:val="32"/>
          <w:szCs w:val="32"/>
          <w14:textFill>
            <w14:solidFill>
              <w14:schemeClr w14:val="tx1"/>
            </w14:solidFill>
          </w14:textFill>
        </w:rPr>
      </w:pPr>
    </w:p>
    <w:p/>
    <w:p>
      <w:pPr>
        <w:pStyle w:val="2"/>
        <w:snapToGrid w:val="0"/>
        <w:spacing w:after="0" w:line="480" w:lineRule="exact"/>
        <w:rPr>
          <w:rFonts w:ascii="Times New Roman" w:hAnsi="Times New Roman" w:eastAsia="仿宋_GB2312"/>
          <w:sz w:val="32"/>
          <w:szCs w:val="32"/>
        </w:rPr>
      </w:pPr>
    </w:p>
    <w:p>
      <w:pPr>
        <w:pStyle w:val="2"/>
        <w:snapToGrid w:val="0"/>
        <w:spacing w:after="0" w:line="480" w:lineRule="exact"/>
        <w:rPr>
          <w:rFonts w:ascii="Times New Roman" w:hAnsi="Times New Roman"/>
        </w:rPr>
        <w:sectPr>
          <w:pgSz w:w="11906" w:h="16838"/>
          <w:pgMar w:top="2098" w:right="1474" w:bottom="1984" w:left="1587" w:header="851" w:footer="992" w:gutter="0"/>
          <w:cols w:space="720" w:num="1"/>
          <w:docGrid w:type="lines" w:linePitch="312" w:charSpace="0"/>
        </w:sectPr>
      </w:pPr>
    </w:p>
    <w:p>
      <w:pPr>
        <w:spacing w:line="360" w:lineRule="auto"/>
        <w:outlineLvl w:val="0"/>
        <w:rPr>
          <w:rFonts w:eastAsia="黑体"/>
          <w:sz w:val="32"/>
          <w:szCs w:val="22"/>
        </w:rPr>
      </w:pPr>
      <w:r>
        <w:rPr>
          <w:rFonts w:hint="default" w:ascii="Times New Roman" w:hAnsi="Times New Roman" w:eastAsia="黑体" w:cs="Times New Roman"/>
          <w:sz w:val="32"/>
          <w:szCs w:val="22"/>
        </w:rPr>
        <w:t xml:space="preserve">附件2  </w:t>
      </w:r>
      <w:r>
        <w:rPr>
          <w:rFonts w:eastAsia="黑体"/>
          <w:sz w:val="32"/>
          <w:szCs w:val="22"/>
        </w:rPr>
        <w:t xml:space="preserve">   </w:t>
      </w:r>
    </w:p>
    <w:p>
      <w:pPr>
        <w:spacing w:line="360" w:lineRule="auto"/>
        <w:rPr>
          <w:rFonts w:eastAsia="黑体"/>
          <w:sz w:val="32"/>
          <w:szCs w:val="22"/>
        </w:rPr>
      </w:pPr>
    </w:p>
    <w:p>
      <w:pPr>
        <w:jc w:val="center"/>
        <w:rPr>
          <w:rFonts w:ascii="Times New Roman" w:hAnsi="Times New Roman" w:eastAsia="黑体" w:cs="Times New Roman"/>
          <w:sz w:val="44"/>
          <w:szCs w:val="44"/>
        </w:rPr>
      </w:pPr>
      <w:r>
        <w:rPr>
          <w:rFonts w:hint="default" w:ascii="Times New Roman" w:hAnsi="Times New Roman" w:eastAsia="黑体" w:cs="Times New Roman"/>
          <w:sz w:val="44"/>
          <w:szCs w:val="44"/>
        </w:rPr>
        <w:t>平谷区促进外贸健康发展</w:t>
      </w:r>
    </w:p>
    <w:p>
      <w:pPr>
        <w:jc w:val="center"/>
        <w:rPr>
          <w:rFonts w:eastAsia="黑体"/>
          <w:bCs/>
          <w:color w:val="000000"/>
          <w:kern w:val="0"/>
          <w:sz w:val="44"/>
          <w:szCs w:val="44"/>
        </w:rPr>
      </w:pPr>
      <w:r>
        <w:rPr>
          <w:rFonts w:hint="eastAsia" w:eastAsia="黑体" w:cs="Times New Roman"/>
          <w:sz w:val="44"/>
          <w:szCs w:val="44"/>
          <w:lang w:val="en-US" w:eastAsia="zh-CN"/>
        </w:rPr>
        <w:t>2024</w:t>
      </w:r>
      <w:r>
        <w:rPr>
          <w:rFonts w:hint="default" w:ascii="Times New Roman" w:hAnsi="Times New Roman" w:eastAsia="黑体" w:cs="Times New Roman"/>
          <w:sz w:val="44"/>
          <w:szCs w:val="44"/>
          <w:lang w:val="en-US" w:eastAsia="zh-CN"/>
        </w:rPr>
        <w:t>年</w:t>
      </w:r>
      <w:r>
        <w:rPr>
          <w:rFonts w:hint="default" w:ascii="Times New Roman" w:hAnsi="Times New Roman" w:eastAsia="黑体" w:cs="Times New Roman"/>
          <w:sz w:val="44"/>
          <w:szCs w:val="44"/>
        </w:rPr>
        <w:t>项目</w:t>
      </w:r>
      <w:r>
        <w:rPr>
          <w:rFonts w:hint="eastAsia" w:eastAsia="黑体"/>
          <w:bCs/>
          <w:color w:val="000000"/>
          <w:kern w:val="0"/>
          <w:sz w:val="44"/>
          <w:szCs w:val="44"/>
        </w:rPr>
        <w:t>申报书</w:t>
      </w:r>
    </w:p>
    <w:p>
      <w:pPr>
        <w:spacing w:line="360" w:lineRule="auto"/>
        <w:rPr>
          <w:rFonts w:eastAsia="黑体"/>
          <w:sz w:val="32"/>
          <w:szCs w:val="22"/>
        </w:rPr>
      </w:pPr>
    </w:p>
    <w:p>
      <w:pPr>
        <w:spacing w:line="360" w:lineRule="auto"/>
        <w:rPr>
          <w:rFonts w:eastAsia="黑体"/>
          <w:sz w:val="32"/>
          <w:szCs w:val="22"/>
        </w:rPr>
      </w:pPr>
    </w:p>
    <w:p>
      <w:pPr>
        <w:spacing w:line="360" w:lineRule="auto"/>
        <w:rPr>
          <w:rFonts w:eastAsia="黑体"/>
          <w:sz w:val="32"/>
          <w:szCs w:val="22"/>
        </w:rPr>
      </w:pPr>
    </w:p>
    <w:p>
      <w:pPr>
        <w:pStyle w:val="2"/>
        <w:rPr>
          <w:rFonts w:ascii="Times New Roman" w:hAnsi="Times New Roman"/>
        </w:rPr>
      </w:pPr>
    </w:p>
    <w:p>
      <w:pPr>
        <w:spacing w:line="360" w:lineRule="auto"/>
        <w:rPr>
          <w:rFonts w:eastAsia="黑体"/>
          <w:sz w:val="32"/>
          <w:szCs w:val="22"/>
        </w:rPr>
      </w:pPr>
    </w:p>
    <w:p>
      <w:pPr>
        <w:spacing w:line="360" w:lineRule="auto"/>
        <w:ind w:firstLine="640" w:firstLineChars="200"/>
        <w:jc w:val="left"/>
        <w:rPr>
          <w:rFonts w:eastAsia="黑体"/>
          <w:sz w:val="32"/>
          <w:szCs w:val="22"/>
          <w:u w:val="single"/>
        </w:rPr>
      </w:pPr>
      <w:r>
        <w:rPr>
          <w:rFonts w:hint="eastAsia" w:eastAsia="黑体"/>
          <w:sz w:val="32"/>
          <w:szCs w:val="22"/>
        </w:rPr>
        <w:t>申报单位名称（盖章）：</w:t>
      </w:r>
      <w:r>
        <w:rPr>
          <w:rFonts w:hint="eastAsia" w:eastAsia="黑体"/>
          <w:sz w:val="32"/>
          <w:szCs w:val="22"/>
          <w:u w:val="single"/>
        </w:rPr>
        <w:t xml:space="preserve">                           </w:t>
      </w:r>
    </w:p>
    <w:p>
      <w:pPr>
        <w:spacing w:line="360" w:lineRule="auto"/>
        <w:ind w:firstLine="640" w:firstLineChars="200"/>
        <w:jc w:val="left"/>
        <w:rPr>
          <w:rFonts w:eastAsia="黑体"/>
          <w:sz w:val="32"/>
          <w:szCs w:val="22"/>
        </w:rPr>
      </w:pPr>
      <w:r>
        <w:rPr>
          <w:rFonts w:hint="eastAsia" w:eastAsia="黑体"/>
          <w:sz w:val="32"/>
          <w:szCs w:val="22"/>
        </w:rPr>
        <w:t>申报政策内容：</w:t>
      </w:r>
      <w:r>
        <w:rPr>
          <w:rFonts w:hint="eastAsia" w:eastAsia="黑体"/>
          <w:sz w:val="32"/>
          <w:szCs w:val="22"/>
          <w:u w:val="single"/>
        </w:rPr>
        <w:t xml:space="preserve">                                  </w:t>
      </w:r>
    </w:p>
    <w:p>
      <w:pPr>
        <w:spacing w:line="360" w:lineRule="auto"/>
        <w:ind w:firstLine="640" w:firstLineChars="200"/>
        <w:jc w:val="left"/>
        <w:rPr>
          <w:rFonts w:eastAsia="黑体"/>
          <w:sz w:val="32"/>
          <w:szCs w:val="22"/>
        </w:rPr>
      </w:pPr>
      <w:r>
        <w:rPr>
          <w:rFonts w:hint="eastAsia" w:eastAsia="黑体"/>
          <w:sz w:val="32"/>
          <w:szCs w:val="22"/>
        </w:rPr>
        <w:t>申报单位联系人：</w:t>
      </w:r>
      <w:r>
        <w:rPr>
          <w:rFonts w:hint="eastAsia" w:eastAsia="黑体"/>
          <w:sz w:val="32"/>
          <w:szCs w:val="22"/>
          <w:u w:val="single"/>
        </w:rPr>
        <w:t xml:space="preserve">                                </w:t>
      </w:r>
    </w:p>
    <w:p>
      <w:pPr>
        <w:spacing w:line="360" w:lineRule="auto"/>
        <w:ind w:firstLine="640" w:firstLineChars="200"/>
        <w:jc w:val="left"/>
        <w:rPr>
          <w:rFonts w:eastAsia="黑体"/>
          <w:sz w:val="32"/>
          <w:szCs w:val="22"/>
        </w:rPr>
      </w:pPr>
      <w:r>
        <w:rPr>
          <w:rFonts w:hint="eastAsia" w:eastAsia="黑体"/>
          <w:sz w:val="32"/>
          <w:szCs w:val="22"/>
        </w:rPr>
        <w:t>联系方式：</w:t>
      </w:r>
      <w:r>
        <w:rPr>
          <w:rFonts w:hint="eastAsia" w:eastAsia="黑体"/>
          <w:sz w:val="32"/>
          <w:szCs w:val="22"/>
          <w:u w:val="single"/>
        </w:rPr>
        <w:t xml:space="preserve">                                  </w:t>
      </w:r>
      <w:r>
        <w:rPr>
          <w:rFonts w:hint="eastAsia" w:eastAsia="黑体"/>
          <w:sz w:val="32"/>
          <w:szCs w:val="22"/>
        </w:rPr>
        <w:t xml:space="preserve"> </w:t>
      </w:r>
    </w:p>
    <w:p>
      <w:pPr>
        <w:spacing w:line="360" w:lineRule="auto"/>
        <w:ind w:firstLine="640" w:firstLineChars="200"/>
        <w:jc w:val="left"/>
        <w:rPr>
          <w:rFonts w:eastAsia="黑体"/>
          <w:sz w:val="32"/>
          <w:szCs w:val="22"/>
        </w:rPr>
      </w:pPr>
      <w:r>
        <w:rPr>
          <w:rFonts w:hint="eastAsia" w:eastAsia="黑体"/>
          <w:sz w:val="32"/>
          <w:szCs w:val="22"/>
        </w:rPr>
        <w:t>提交日期：</w:t>
      </w:r>
      <w:r>
        <w:rPr>
          <w:rFonts w:hint="eastAsia" w:eastAsia="黑体"/>
          <w:sz w:val="32"/>
          <w:szCs w:val="22"/>
          <w:u w:val="single"/>
        </w:rPr>
        <w:t xml:space="preserve">                                  </w:t>
      </w:r>
    </w:p>
    <w:p>
      <w:pPr>
        <w:spacing w:line="360" w:lineRule="auto"/>
        <w:rPr>
          <w:rFonts w:eastAsia="黑体"/>
          <w:sz w:val="32"/>
          <w:szCs w:val="22"/>
        </w:rPr>
      </w:pPr>
    </w:p>
    <w:p>
      <w:pPr>
        <w:spacing w:line="560" w:lineRule="exact"/>
        <w:ind w:firstLine="560" w:firstLineChars="200"/>
        <w:rPr>
          <w:rFonts w:ascii="Times New Roman" w:hAnsi="Times New Roman" w:eastAsia="仿宋_GB2312"/>
          <w:sz w:val="28"/>
          <w:szCs w:val="22"/>
        </w:rPr>
      </w:pPr>
      <w:r>
        <w:rPr>
          <w:rFonts w:hint="eastAsia" w:eastAsia="仿宋_GB2312"/>
          <w:sz w:val="28"/>
          <w:szCs w:val="22"/>
        </w:rPr>
        <w:t>注：1.申报政策内容包括：</w:t>
      </w:r>
      <w:r>
        <w:rPr>
          <w:rFonts w:hint="default" w:ascii="Times New Roman" w:hAnsi="Times New Roman" w:eastAsia="仿宋_GB2312"/>
          <w:sz w:val="28"/>
          <w:szCs w:val="22"/>
        </w:rPr>
        <w:t>支持</w:t>
      </w:r>
      <w:r>
        <w:rPr>
          <w:rFonts w:ascii="Times New Roman" w:hAnsi="Times New Roman" w:eastAsia="仿宋_GB2312"/>
          <w:sz w:val="28"/>
          <w:szCs w:val="22"/>
        </w:rPr>
        <w:t>企业参展开拓市场</w:t>
      </w:r>
      <w:r>
        <w:rPr>
          <w:rFonts w:hint="default" w:ascii="Times New Roman" w:hAnsi="Times New Roman" w:eastAsia="仿宋_GB2312"/>
          <w:sz w:val="28"/>
          <w:szCs w:val="22"/>
        </w:rPr>
        <w:t>；促进企业国际化经营能力提升；鼓励进出口外贸企业办理人民币外汇衍生品业务；支持平谷区特色农产品（包括使用平谷区农产品的深加工产品）出口；支持农业科技企业开展自主创新；支持企业开展对外直接投资。2.该页为封面，将其他所有材料附在该页后面一并装订。</w:t>
      </w:r>
    </w:p>
    <w:p>
      <w:pPr>
        <w:spacing w:line="360" w:lineRule="auto"/>
        <w:outlineLvl w:val="0"/>
        <w:rPr>
          <w:rFonts w:eastAsia="黑体"/>
          <w:sz w:val="32"/>
          <w:szCs w:val="22"/>
        </w:rPr>
      </w:pPr>
      <w:r>
        <w:rPr>
          <w:rFonts w:hint="default" w:ascii="Times New Roman" w:hAnsi="Times New Roman" w:eastAsia="黑体" w:cs="Times New Roman"/>
          <w:sz w:val="32"/>
          <w:szCs w:val="22"/>
        </w:rPr>
        <w:t>附件3</w:t>
      </w:r>
      <w:r>
        <w:rPr>
          <w:rFonts w:eastAsia="黑体"/>
          <w:sz w:val="32"/>
          <w:szCs w:val="22"/>
        </w:rPr>
        <w:t xml:space="preserve">      </w:t>
      </w:r>
    </w:p>
    <w:p>
      <w:pPr>
        <w:spacing w:line="360" w:lineRule="auto"/>
        <w:jc w:val="center"/>
        <w:outlineLvl w:val="0"/>
        <w:rPr>
          <w:rFonts w:eastAsia="黑体"/>
          <w:sz w:val="32"/>
          <w:szCs w:val="22"/>
        </w:rPr>
      </w:pPr>
      <w:r>
        <w:rPr>
          <w:rFonts w:hint="eastAsia" w:eastAsia="黑体"/>
          <w:sz w:val="32"/>
          <w:szCs w:val="22"/>
        </w:rPr>
        <w:t>平谷区促进外贸健康发展</w:t>
      </w:r>
      <w:r>
        <w:rPr>
          <w:rFonts w:hint="eastAsia" w:eastAsia="黑体"/>
          <w:sz w:val="32"/>
          <w:szCs w:val="22"/>
          <w:lang w:eastAsia="zh-CN"/>
        </w:rPr>
        <w:t>2024</w:t>
      </w:r>
      <w:r>
        <w:rPr>
          <w:rFonts w:hint="eastAsia" w:eastAsia="黑体"/>
          <w:sz w:val="32"/>
          <w:szCs w:val="22"/>
        </w:rPr>
        <w:t>年项目资金</w:t>
      </w:r>
      <w:r>
        <w:rPr>
          <w:rFonts w:eastAsia="黑体"/>
          <w:sz w:val="32"/>
          <w:szCs w:val="22"/>
        </w:rPr>
        <w:t>申请表</w:t>
      </w:r>
    </w:p>
    <w:p>
      <w:pPr>
        <w:spacing w:line="360" w:lineRule="auto"/>
        <w:rPr>
          <w:sz w:val="28"/>
          <w:szCs w:val="28"/>
        </w:rPr>
      </w:pPr>
      <w:r>
        <w:rPr>
          <w:sz w:val="28"/>
          <w:szCs w:val="28"/>
        </w:rPr>
        <w:t>申请单位:（盖章）                  填表日期：   年   月   日</w:t>
      </w:r>
    </w:p>
    <w:tbl>
      <w:tblPr>
        <w:tblStyle w:val="11"/>
        <w:tblW w:w="8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5"/>
        <w:gridCol w:w="1483"/>
        <w:gridCol w:w="1276"/>
        <w:gridCol w:w="1102"/>
        <w:gridCol w:w="989"/>
        <w:gridCol w:w="763"/>
        <w:gridCol w:w="2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675" w:type="dxa"/>
            <w:vMerge w:val="restart"/>
            <w:tcMar>
              <w:top w:w="15" w:type="dxa"/>
              <w:left w:w="15" w:type="dxa"/>
              <w:right w:w="15" w:type="dxa"/>
            </w:tcMar>
            <w:vAlign w:val="center"/>
          </w:tcPr>
          <w:p>
            <w:pPr>
              <w:widowControl/>
              <w:snapToGrid w:val="0"/>
              <w:jc w:val="center"/>
              <w:textAlignment w:val="center"/>
              <w:rPr>
                <w:kern w:val="0"/>
                <w:sz w:val="22"/>
                <w:szCs w:val="22"/>
              </w:rPr>
            </w:pPr>
            <w:r>
              <w:rPr>
                <w:b/>
                <w:bCs/>
                <w:kern w:val="0"/>
                <w:sz w:val="22"/>
                <w:szCs w:val="22"/>
              </w:rPr>
              <w:t>单位基本情况</w:t>
            </w:r>
          </w:p>
        </w:tc>
        <w:tc>
          <w:tcPr>
            <w:tcW w:w="1483" w:type="dxa"/>
            <w:tcMar>
              <w:top w:w="15" w:type="dxa"/>
              <w:left w:w="15" w:type="dxa"/>
              <w:right w:w="15" w:type="dxa"/>
            </w:tcMar>
            <w:vAlign w:val="center"/>
          </w:tcPr>
          <w:p>
            <w:pPr>
              <w:widowControl/>
              <w:snapToGrid w:val="0"/>
              <w:jc w:val="center"/>
              <w:textAlignment w:val="center"/>
              <w:rPr>
                <w:sz w:val="22"/>
                <w:szCs w:val="22"/>
              </w:rPr>
            </w:pPr>
            <w:r>
              <w:rPr>
                <w:kern w:val="0"/>
                <w:sz w:val="22"/>
                <w:szCs w:val="22"/>
              </w:rPr>
              <w:t>单位名称</w:t>
            </w:r>
          </w:p>
        </w:tc>
        <w:tc>
          <w:tcPr>
            <w:tcW w:w="6175" w:type="dxa"/>
            <w:gridSpan w:val="5"/>
            <w:tcMar>
              <w:top w:w="15" w:type="dxa"/>
              <w:left w:w="15" w:type="dxa"/>
              <w:right w:w="15" w:type="dxa"/>
            </w:tcMar>
            <w:vAlign w:val="center"/>
          </w:tcPr>
          <w:p>
            <w:pPr>
              <w:widowControl/>
              <w:snapToGrid w:val="0"/>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675" w:type="dxa"/>
            <w:vMerge w:val="continue"/>
            <w:tcMar>
              <w:top w:w="15" w:type="dxa"/>
              <w:left w:w="15" w:type="dxa"/>
              <w:right w:w="15" w:type="dxa"/>
            </w:tcMar>
            <w:vAlign w:val="center"/>
          </w:tcPr>
          <w:p>
            <w:pPr>
              <w:widowControl/>
              <w:snapToGrid w:val="0"/>
              <w:jc w:val="center"/>
              <w:textAlignment w:val="center"/>
              <w:rPr>
                <w:kern w:val="0"/>
                <w:sz w:val="22"/>
                <w:szCs w:val="22"/>
              </w:rPr>
            </w:pPr>
          </w:p>
        </w:tc>
        <w:tc>
          <w:tcPr>
            <w:tcW w:w="1483" w:type="dxa"/>
            <w:tcMar>
              <w:top w:w="15" w:type="dxa"/>
              <w:left w:w="15" w:type="dxa"/>
              <w:right w:w="15" w:type="dxa"/>
            </w:tcMar>
            <w:vAlign w:val="center"/>
          </w:tcPr>
          <w:p>
            <w:pPr>
              <w:widowControl/>
              <w:snapToGrid w:val="0"/>
              <w:jc w:val="center"/>
              <w:textAlignment w:val="center"/>
              <w:rPr>
                <w:sz w:val="22"/>
                <w:szCs w:val="22"/>
              </w:rPr>
            </w:pPr>
            <w:r>
              <w:rPr>
                <w:kern w:val="0"/>
                <w:sz w:val="22"/>
                <w:szCs w:val="22"/>
              </w:rPr>
              <w:t>办公地址</w:t>
            </w:r>
          </w:p>
        </w:tc>
        <w:tc>
          <w:tcPr>
            <w:tcW w:w="6175" w:type="dxa"/>
            <w:gridSpan w:val="5"/>
            <w:tcMar>
              <w:top w:w="15" w:type="dxa"/>
              <w:left w:w="15" w:type="dxa"/>
              <w:right w:w="15" w:type="dxa"/>
            </w:tcMar>
            <w:vAlign w:val="center"/>
          </w:tcPr>
          <w:p>
            <w:pPr>
              <w:widowControl/>
              <w:snapToGrid w:val="0"/>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675" w:type="dxa"/>
            <w:vMerge w:val="continue"/>
            <w:tcMar>
              <w:top w:w="15" w:type="dxa"/>
              <w:left w:w="15" w:type="dxa"/>
              <w:right w:w="15" w:type="dxa"/>
            </w:tcMar>
            <w:vAlign w:val="center"/>
          </w:tcPr>
          <w:p>
            <w:pPr>
              <w:widowControl/>
              <w:snapToGrid w:val="0"/>
              <w:jc w:val="center"/>
              <w:textAlignment w:val="center"/>
              <w:rPr>
                <w:kern w:val="0"/>
                <w:sz w:val="22"/>
                <w:szCs w:val="22"/>
              </w:rPr>
            </w:pPr>
          </w:p>
        </w:tc>
        <w:tc>
          <w:tcPr>
            <w:tcW w:w="1483" w:type="dxa"/>
            <w:tcMar>
              <w:top w:w="15" w:type="dxa"/>
              <w:left w:w="15" w:type="dxa"/>
              <w:right w:w="15" w:type="dxa"/>
            </w:tcMar>
            <w:vAlign w:val="center"/>
          </w:tcPr>
          <w:p>
            <w:pPr>
              <w:widowControl/>
              <w:snapToGrid w:val="0"/>
              <w:jc w:val="center"/>
              <w:textAlignment w:val="center"/>
              <w:rPr>
                <w:sz w:val="22"/>
                <w:szCs w:val="22"/>
              </w:rPr>
            </w:pPr>
            <w:r>
              <w:rPr>
                <w:kern w:val="0"/>
                <w:sz w:val="22"/>
                <w:szCs w:val="22"/>
              </w:rPr>
              <w:t>所属行政区</w:t>
            </w:r>
            <w:r>
              <w:rPr>
                <w:color w:val="000000"/>
                <w:sz w:val="22"/>
                <w:szCs w:val="24"/>
              </w:rPr>
              <w:br w:type="textWrapping"/>
            </w:r>
            <w:r>
              <w:rPr>
                <w:color w:val="000000"/>
                <w:sz w:val="22"/>
                <w:szCs w:val="24"/>
              </w:rPr>
              <w:t>（注册行政区）</w:t>
            </w:r>
          </w:p>
        </w:tc>
        <w:tc>
          <w:tcPr>
            <w:tcW w:w="2378" w:type="dxa"/>
            <w:gridSpan w:val="2"/>
            <w:tcMar>
              <w:top w:w="15" w:type="dxa"/>
              <w:left w:w="15" w:type="dxa"/>
              <w:right w:w="15" w:type="dxa"/>
            </w:tcMar>
            <w:vAlign w:val="center"/>
          </w:tcPr>
          <w:p>
            <w:pPr>
              <w:widowControl/>
              <w:snapToGrid w:val="0"/>
              <w:jc w:val="center"/>
              <w:rPr>
                <w:sz w:val="22"/>
                <w:szCs w:val="22"/>
              </w:rPr>
            </w:pPr>
          </w:p>
        </w:tc>
        <w:tc>
          <w:tcPr>
            <w:tcW w:w="989" w:type="dxa"/>
            <w:tcMar>
              <w:top w:w="15" w:type="dxa"/>
              <w:left w:w="15" w:type="dxa"/>
              <w:right w:w="15" w:type="dxa"/>
            </w:tcMar>
            <w:vAlign w:val="center"/>
          </w:tcPr>
          <w:p>
            <w:pPr>
              <w:widowControl/>
              <w:snapToGrid w:val="0"/>
              <w:jc w:val="center"/>
              <w:textAlignment w:val="center"/>
              <w:rPr>
                <w:sz w:val="22"/>
                <w:szCs w:val="22"/>
              </w:rPr>
            </w:pPr>
            <w:r>
              <w:rPr>
                <w:kern w:val="0"/>
                <w:sz w:val="22"/>
                <w:szCs w:val="22"/>
              </w:rPr>
              <w:t>所属行业领域</w:t>
            </w:r>
          </w:p>
        </w:tc>
        <w:tc>
          <w:tcPr>
            <w:tcW w:w="2808" w:type="dxa"/>
            <w:gridSpan w:val="2"/>
            <w:tcMar>
              <w:top w:w="15" w:type="dxa"/>
              <w:left w:w="15" w:type="dxa"/>
              <w:right w:w="15" w:type="dxa"/>
            </w:tcMar>
            <w:vAlign w:val="center"/>
          </w:tcPr>
          <w:p>
            <w:pPr>
              <w:widowControl/>
              <w:snapToGrid w:val="0"/>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675" w:type="dxa"/>
            <w:vMerge w:val="continue"/>
            <w:tcMar>
              <w:top w:w="15" w:type="dxa"/>
              <w:left w:w="15" w:type="dxa"/>
              <w:right w:w="15" w:type="dxa"/>
            </w:tcMar>
            <w:vAlign w:val="center"/>
          </w:tcPr>
          <w:p>
            <w:pPr>
              <w:widowControl/>
              <w:snapToGrid w:val="0"/>
              <w:jc w:val="center"/>
              <w:textAlignment w:val="center"/>
              <w:rPr>
                <w:kern w:val="0"/>
                <w:sz w:val="22"/>
                <w:szCs w:val="22"/>
              </w:rPr>
            </w:pPr>
          </w:p>
        </w:tc>
        <w:tc>
          <w:tcPr>
            <w:tcW w:w="1483" w:type="dxa"/>
            <w:tcMar>
              <w:top w:w="15" w:type="dxa"/>
              <w:left w:w="15" w:type="dxa"/>
              <w:right w:w="15" w:type="dxa"/>
            </w:tcMar>
            <w:vAlign w:val="center"/>
          </w:tcPr>
          <w:p>
            <w:pPr>
              <w:widowControl/>
              <w:snapToGrid w:val="0"/>
              <w:jc w:val="center"/>
              <w:textAlignment w:val="center"/>
              <w:rPr>
                <w:kern w:val="0"/>
                <w:sz w:val="22"/>
                <w:szCs w:val="22"/>
              </w:rPr>
            </w:pPr>
            <w:r>
              <w:rPr>
                <w:kern w:val="0"/>
                <w:sz w:val="22"/>
                <w:szCs w:val="22"/>
              </w:rPr>
              <w:t>法定代表人或</w:t>
            </w:r>
          </w:p>
          <w:p>
            <w:pPr>
              <w:widowControl/>
              <w:snapToGrid w:val="0"/>
              <w:jc w:val="center"/>
              <w:textAlignment w:val="center"/>
              <w:rPr>
                <w:sz w:val="22"/>
                <w:szCs w:val="22"/>
              </w:rPr>
            </w:pPr>
            <w:r>
              <w:rPr>
                <w:kern w:val="0"/>
                <w:sz w:val="22"/>
                <w:szCs w:val="22"/>
              </w:rPr>
              <w:t>主要负责人</w:t>
            </w:r>
          </w:p>
        </w:tc>
        <w:tc>
          <w:tcPr>
            <w:tcW w:w="1276" w:type="dxa"/>
            <w:tcMar>
              <w:top w:w="15" w:type="dxa"/>
              <w:left w:w="15" w:type="dxa"/>
              <w:right w:w="15" w:type="dxa"/>
            </w:tcMar>
            <w:vAlign w:val="center"/>
          </w:tcPr>
          <w:p>
            <w:pPr>
              <w:widowControl/>
              <w:snapToGrid w:val="0"/>
              <w:jc w:val="center"/>
              <w:rPr>
                <w:sz w:val="22"/>
                <w:szCs w:val="22"/>
              </w:rPr>
            </w:pPr>
          </w:p>
        </w:tc>
        <w:tc>
          <w:tcPr>
            <w:tcW w:w="1102" w:type="dxa"/>
            <w:tcMar>
              <w:top w:w="15" w:type="dxa"/>
              <w:left w:w="15" w:type="dxa"/>
              <w:right w:w="15" w:type="dxa"/>
            </w:tcMar>
            <w:vAlign w:val="center"/>
          </w:tcPr>
          <w:p>
            <w:pPr>
              <w:widowControl/>
              <w:snapToGrid w:val="0"/>
              <w:jc w:val="center"/>
              <w:textAlignment w:val="center"/>
              <w:rPr>
                <w:sz w:val="22"/>
                <w:szCs w:val="22"/>
              </w:rPr>
            </w:pPr>
            <w:r>
              <w:rPr>
                <w:kern w:val="0"/>
                <w:sz w:val="22"/>
                <w:szCs w:val="22"/>
              </w:rPr>
              <w:t>办公电话</w:t>
            </w:r>
          </w:p>
        </w:tc>
        <w:tc>
          <w:tcPr>
            <w:tcW w:w="989" w:type="dxa"/>
            <w:tcMar>
              <w:top w:w="15" w:type="dxa"/>
              <w:left w:w="15" w:type="dxa"/>
              <w:right w:w="15" w:type="dxa"/>
            </w:tcMar>
            <w:vAlign w:val="center"/>
          </w:tcPr>
          <w:p>
            <w:pPr>
              <w:widowControl/>
              <w:snapToGrid w:val="0"/>
              <w:jc w:val="center"/>
              <w:rPr>
                <w:sz w:val="22"/>
                <w:szCs w:val="22"/>
              </w:rPr>
            </w:pPr>
          </w:p>
        </w:tc>
        <w:tc>
          <w:tcPr>
            <w:tcW w:w="763" w:type="dxa"/>
            <w:tcMar>
              <w:top w:w="15" w:type="dxa"/>
              <w:left w:w="15" w:type="dxa"/>
              <w:right w:w="15" w:type="dxa"/>
            </w:tcMar>
            <w:vAlign w:val="center"/>
          </w:tcPr>
          <w:p>
            <w:pPr>
              <w:widowControl/>
              <w:snapToGrid w:val="0"/>
              <w:jc w:val="center"/>
              <w:textAlignment w:val="center"/>
              <w:rPr>
                <w:sz w:val="22"/>
                <w:szCs w:val="22"/>
              </w:rPr>
            </w:pPr>
            <w:r>
              <w:rPr>
                <w:kern w:val="0"/>
                <w:sz w:val="22"/>
                <w:szCs w:val="22"/>
              </w:rPr>
              <w:t>手机</w:t>
            </w:r>
          </w:p>
        </w:tc>
        <w:tc>
          <w:tcPr>
            <w:tcW w:w="2045" w:type="dxa"/>
            <w:tcMar>
              <w:top w:w="15" w:type="dxa"/>
              <w:left w:w="15" w:type="dxa"/>
              <w:right w:w="15" w:type="dxa"/>
            </w:tcMar>
            <w:vAlign w:val="center"/>
          </w:tcPr>
          <w:p>
            <w:pPr>
              <w:widowControl/>
              <w:snapToGrid w:val="0"/>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675" w:type="dxa"/>
            <w:vMerge w:val="continue"/>
            <w:tcMar>
              <w:top w:w="15" w:type="dxa"/>
              <w:left w:w="15" w:type="dxa"/>
              <w:right w:w="15" w:type="dxa"/>
            </w:tcMar>
            <w:vAlign w:val="center"/>
          </w:tcPr>
          <w:p>
            <w:pPr>
              <w:widowControl/>
              <w:snapToGrid w:val="0"/>
              <w:jc w:val="center"/>
              <w:textAlignment w:val="center"/>
              <w:rPr>
                <w:kern w:val="0"/>
                <w:sz w:val="22"/>
                <w:szCs w:val="22"/>
              </w:rPr>
            </w:pPr>
          </w:p>
        </w:tc>
        <w:tc>
          <w:tcPr>
            <w:tcW w:w="1483" w:type="dxa"/>
            <w:tcMar>
              <w:top w:w="15" w:type="dxa"/>
              <w:left w:w="15" w:type="dxa"/>
              <w:right w:w="15" w:type="dxa"/>
            </w:tcMar>
            <w:vAlign w:val="center"/>
          </w:tcPr>
          <w:p>
            <w:pPr>
              <w:widowControl/>
              <w:snapToGrid w:val="0"/>
              <w:jc w:val="center"/>
              <w:textAlignment w:val="center"/>
              <w:rPr>
                <w:sz w:val="22"/>
                <w:szCs w:val="22"/>
              </w:rPr>
            </w:pPr>
            <w:r>
              <w:rPr>
                <w:kern w:val="0"/>
                <w:sz w:val="22"/>
                <w:szCs w:val="22"/>
              </w:rPr>
              <w:t>经办联系人</w:t>
            </w:r>
          </w:p>
        </w:tc>
        <w:tc>
          <w:tcPr>
            <w:tcW w:w="1276" w:type="dxa"/>
            <w:tcMar>
              <w:top w:w="15" w:type="dxa"/>
              <w:left w:w="15" w:type="dxa"/>
              <w:right w:w="15" w:type="dxa"/>
            </w:tcMar>
            <w:vAlign w:val="center"/>
          </w:tcPr>
          <w:p>
            <w:pPr>
              <w:widowControl/>
              <w:snapToGrid w:val="0"/>
              <w:jc w:val="center"/>
              <w:rPr>
                <w:sz w:val="22"/>
                <w:szCs w:val="22"/>
              </w:rPr>
            </w:pPr>
          </w:p>
        </w:tc>
        <w:tc>
          <w:tcPr>
            <w:tcW w:w="1102" w:type="dxa"/>
            <w:tcMar>
              <w:top w:w="15" w:type="dxa"/>
              <w:left w:w="15" w:type="dxa"/>
              <w:right w:w="15" w:type="dxa"/>
            </w:tcMar>
            <w:vAlign w:val="center"/>
          </w:tcPr>
          <w:p>
            <w:pPr>
              <w:widowControl/>
              <w:snapToGrid w:val="0"/>
              <w:jc w:val="center"/>
              <w:textAlignment w:val="center"/>
              <w:rPr>
                <w:sz w:val="22"/>
                <w:szCs w:val="22"/>
              </w:rPr>
            </w:pPr>
            <w:r>
              <w:rPr>
                <w:kern w:val="0"/>
                <w:sz w:val="22"/>
                <w:szCs w:val="22"/>
              </w:rPr>
              <w:t>办公电话</w:t>
            </w:r>
          </w:p>
        </w:tc>
        <w:tc>
          <w:tcPr>
            <w:tcW w:w="989" w:type="dxa"/>
            <w:tcMar>
              <w:top w:w="15" w:type="dxa"/>
              <w:left w:w="15" w:type="dxa"/>
              <w:right w:w="15" w:type="dxa"/>
            </w:tcMar>
            <w:vAlign w:val="center"/>
          </w:tcPr>
          <w:p>
            <w:pPr>
              <w:widowControl/>
              <w:snapToGrid w:val="0"/>
              <w:jc w:val="center"/>
              <w:rPr>
                <w:sz w:val="22"/>
                <w:szCs w:val="22"/>
              </w:rPr>
            </w:pPr>
          </w:p>
        </w:tc>
        <w:tc>
          <w:tcPr>
            <w:tcW w:w="763" w:type="dxa"/>
            <w:tcMar>
              <w:top w:w="15" w:type="dxa"/>
              <w:left w:w="15" w:type="dxa"/>
              <w:right w:w="15" w:type="dxa"/>
            </w:tcMar>
            <w:vAlign w:val="center"/>
          </w:tcPr>
          <w:p>
            <w:pPr>
              <w:widowControl/>
              <w:snapToGrid w:val="0"/>
              <w:jc w:val="center"/>
              <w:textAlignment w:val="center"/>
              <w:rPr>
                <w:sz w:val="22"/>
                <w:szCs w:val="22"/>
              </w:rPr>
            </w:pPr>
            <w:r>
              <w:rPr>
                <w:kern w:val="0"/>
                <w:sz w:val="22"/>
                <w:szCs w:val="22"/>
              </w:rPr>
              <w:t>手机</w:t>
            </w:r>
          </w:p>
        </w:tc>
        <w:tc>
          <w:tcPr>
            <w:tcW w:w="2045" w:type="dxa"/>
            <w:tcMar>
              <w:top w:w="15" w:type="dxa"/>
              <w:left w:w="15" w:type="dxa"/>
              <w:right w:w="15" w:type="dxa"/>
            </w:tcMar>
            <w:vAlign w:val="center"/>
          </w:tcPr>
          <w:p>
            <w:pPr>
              <w:widowControl/>
              <w:snapToGrid w:val="0"/>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675" w:type="dxa"/>
            <w:vMerge w:val="continue"/>
            <w:tcMar>
              <w:top w:w="15" w:type="dxa"/>
              <w:left w:w="15" w:type="dxa"/>
              <w:right w:w="15" w:type="dxa"/>
            </w:tcMar>
            <w:vAlign w:val="center"/>
          </w:tcPr>
          <w:p>
            <w:pPr>
              <w:widowControl/>
              <w:snapToGrid w:val="0"/>
              <w:jc w:val="center"/>
              <w:textAlignment w:val="center"/>
              <w:rPr>
                <w:kern w:val="0"/>
                <w:sz w:val="22"/>
                <w:szCs w:val="22"/>
              </w:rPr>
            </w:pPr>
          </w:p>
        </w:tc>
        <w:tc>
          <w:tcPr>
            <w:tcW w:w="1483" w:type="dxa"/>
            <w:tcMar>
              <w:top w:w="15" w:type="dxa"/>
              <w:left w:w="15" w:type="dxa"/>
              <w:right w:w="15" w:type="dxa"/>
            </w:tcMar>
            <w:vAlign w:val="center"/>
          </w:tcPr>
          <w:p>
            <w:pPr>
              <w:widowControl/>
              <w:snapToGrid w:val="0"/>
              <w:jc w:val="center"/>
              <w:textAlignment w:val="center"/>
              <w:rPr>
                <w:sz w:val="22"/>
                <w:szCs w:val="22"/>
              </w:rPr>
            </w:pPr>
            <w:r>
              <w:rPr>
                <w:kern w:val="0"/>
                <w:sz w:val="22"/>
                <w:szCs w:val="22"/>
              </w:rPr>
              <w:t>注册设立时间</w:t>
            </w:r>
          </w:p>
        </w:tc>
        <w:tc>
          <w:tcPr>
            <w:tcW w:w="1276" w:type="dxa"/>
            <w:tcMar>
              <w:top w:w="15" w:type="dxa"/>
              <w:left w:w="15" w:type="dxa"/>
              <w:right w:w="15" w:type="dxa"/>
            </w:tcMar>
            <w:vAlign w:val="center"/>
          </w:tcPr>
          <w:p>
            <w:pPr>
              <w:widowControl/>
              <w:snapToGrid w:val="0"/>
              <w:jc w:val="center"/>
              <w:rPr>
                <w:sz w:val="22"/>
                <w:szCs w:val="22"/>
              </w:rPr>
            </w:pPr>
          </w:p>
        </w:tc>
        <w:tc>
          <w:tcPr>
            <w:tcW w:w="1102" w:type="dxa"/>
            <w:tcMar>
              <w:top w:w="15" w:type="dxa"/>
              <w:left w:w="15" w:type="dxa"/>
              <w:right w:w="15" w:type="dxa"/>
            </w:tcMar>
            <w:vAlign w:val="center"/>
          </w:tcPr>
          <w:p>
            <w:pPr>
              <w:widowControl/>
              <w:snapToGrid w:val="0"/>
              <w:jc w:val="center"/>
              <w:textAlignment w:val="center"/>
              <w:rPr>
                <w:kern w:val="0"/>
                <w:sz w:val="22"/>
                <w:szCs w:val="22"/>
              </w:rPr>
            </w:pPr>
            <w:r>
              <w:rPr>
                <w:kern w:val="0"/>
                <w:sz w:val="22"/>
                <w:szCs w:val="22"/>
              </w:rPr>
              <w:t>纳税人</w:t>
            </w:r>
          </w:p>
          <w:p>
            <w:pPr>
              <w:widowControl/>
              <w:snapToGrid w:val="0"/>
              <w:jc w:val="center"/>
              <w:textAlignment w:val="center"/>
              <w:rPr>
                <w:sz w:val="22"/>
                <w:szCs w:val="22"/>
              </w:rPr>
            </w:pPr>
            <w:r>
              <w:rPr>
                <w:kern w:val="0"/>
                <w:sz w:val="22"/>
                <w:szCs w:val="22"/>
              </w:rPr>
              <w:t>识别号</w:t>
            </w:r>
          </w:p>
        </w:tc>
        <w:tc>
          <w:tcPr>
            <w:tcW w:w="3797" w:type="dxa"/>
            <w:gridSpan w:val="3"/>
            <w:tcMar>
              <w:top w:w="15" w:type="dxa"/>
              <w:left w:w="15" w:type="dxa"/>
              <w:right w:w="15" w:type="dxa"/>
            </w:tcMar>
            <w:vAlign w:val="center"/>
          </w:tcPr>
          <w:p>
            <w:pPr>
              <w:widowControl/>
              <w:snapToGrid w:val="0"/>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675" w:type="dxa"/>
            <w:vMerge w:val="continue"/>
            <w:tcMar>
              <w:top w:w="15" w:type="dxa"/>
              <w:left w:w="15" w:type="dxa"/>
              <w:right w:w="15" w:type="dxa"/>
            </w:tcMar>
            <w:vAlign w:val="center"/>
          </w:tcPr>
          <w:p>
            <w:pPr>
              <w:widowControl/>
              <w:snapToGrid w:val="0"/>
              <w:jc w:val="center"/>
              <w:textAlignment w:val="center"/>
              <w:rPr>
                <w:kern w:val="0"/>
                <w:sz w:val="22"/>
                <w:szCs w:val="22"/>
              </w:rPr>
            </w:pPr>
          </w:p>
        </w:tc>
        <w:tc>
          <w:tcPr>
            <w:tcW w:w="1483" w:type="dxa"/>
            <w:tcMar>
              <w:top w:w="15" w:type="dxa"/>
              <w:left w:w="15" w:type="dxa"/>
              <w:right w:w="15" w:type="dxa"/>
            </w:tcMar>
            <w:vAlign w:val="center"/>
          </w:tcPr>
          <w:p>
            <w:pPr>
              <w:widowControl/>
              <w:snapToGrid w:val="0"/>
              <w:jc w:val="center"/>
              <w:textAlignment w:val="center"/>
              <w:rPr>
                <w:kern w:val="0"/>
                <w:sz w:val="22"/>
                <w:szCs w:val="22"/>
              </w:rPr>
            </w:pPr>
            <w:r>
              <w:rPr>
                <w:kern w:val="0"/>
                <w:sz w:val="22"/>
                <w:szCs w:val="22"/>
              </w:rPr>
              <w:t>开户银行</w:t>
            </w:r>
          </w:p>
        </w:tc>
        <w:tc>
          <w:tcPr>
            <w:tcW w:w="2378" w:type="dxa"/>
            <w:gridSpan w:val="2"/>
            <w:tcMar>
              <w:top w:w="15" w:type="dxa"/>
              <w:left w:w="15" w:type="dxa"/>
              <w:right w:w="15" w:type="dxa"/>
            </w:tcMar>
            <w:vAlign w:val="center"/>
          </w:tcPr>
          <w:p>
            <w:pPr>
              <w:widowControl/>
              <w:snapToGrid w:val="0"/>
              <w:jc w:val="left"/>
              <w:textAlignment w:val="center"/>
              <w:rPr>
                <w:kern w:val="0"/>
                <w:sz w:val="22"/>
                <w:szCs w:val="22"/>
              </w:rPr>
            </w:pPr>
          </w:p>
        </w:tc>
        <w:tc>
          <w:tcPr>
            <w:tcW w:w="989" w:type="dxa"/>
            <w:tcMar>
              <w:top w:w="15" w:type="dxa"/>
              <w:left w:w="15" w:type="dxa"/>
              <w:right w:w="15" w:type="dxa"/>
            </w:tcMar>
            <w:vAlign w:val="center"/>
          </w:tcPr>
          <w:p>
            <w:pPr>
              <w:widowControl/>
              <w:snapToGrid w:val="0"/>
              <w:jc w:val="center"/>
              <w:textAlignment w:val="center"/>
              <w:rPr>
                <w:kern w:val="0"/>
                <w:sz w:val="22"/>
                <w:szCs w:val="22"/>
              </w:rPr>
            </w:pPr>
            <w:r>
              <w:rPr>
                <w:kern w:val="0"/>
                <w:sz w:val="22"/>
                <w:szCs w:val="22"/>
              </w:rPr>
              <w:t>账户名及</w:t>
            </w:r>
          </w:p>
          <w:p>
            <w:pPr>
              <w:widowControl/>
              <w:snapToGrid w:val="0"/>
              <w:jc w:val="center"/>
              <w:textAlignment w:val="center"/>
              <w:rPr>
                <w:kern w:val="0"/>
                <w:sz w:val="22"/>
                <w:szCs w:val="22"/>
              </w:rPr>
            </w:pPr>
            <w:r>
              <w:rPr>
                <w:kern w:val="0"/>
                <w:sz w:val="22"/>
                <w:szCs w:val="22"/>
              </w:rPr>
              <w:t>银行账号</w:t>
            </w:r>
          </w:p>
        </w:tc>
        <w:tc>
          <w:tcPr>
            <w:tcW w:w="2808" w:type="dxa"/>
            <w:gridSpan w:val="2"/>
            <w:tcMar>
              <w:top w:w="15" w:type="dxa"/>
              <w:left w:w="15" w:type="dxa"/>
              <w:right w:w="15" w:type="dxa"/>
            </w:tcMar>
            <w:vAlign w:val="center"/>
          </w:tcPr>
          <w:p>
            <w:pPr>
              <w:widowControl/>
              <w:snapToGrid w:val="0"/>
              <w:jc w:val="right"/>
              <w:textAlignment w:val="center"/>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675" w:type="dxa"/>
            <w:vMerge w:val="continue"/>
            <w:tcMar>
              <w:top w:w="15" w:type="dxa"/>
              <w:left w:w="15" w:type="dxa"/>
              <w:right w:w="15" w:type="dxa"/>
            </w:tcMar>
            <w:vAlign w:val="center"/>
          </w:tcPr>
          <w:p>
            <w:pPr>
              <w:widowControl/>
              <w:snapToGrid w:val="0"/>
              <w:jc w:val="center"/>
              <w:textAlignment w:val="center"/>
              <w:rPr>
                <w:kern w:val="0"/>
                <w:sz w:val="22"/>
                <w:szCs w:val="22"/>
              </w:rPr>
            </w:pPr>
          </w:p>
        </w:tc>
        <w:tc>
          <w:tcPr>
            <w:tcW w:w="1483" w:type="dxa"/>
            <w:tcMar>
              <w:top w:w="15" w:type="dxa"/>
              <w:left w:w="15" w:type="dxa"/>
              <w:right w:w="15" w:type="dxa"/>
            </w:tcMar>
            <w:vAlign w:val="center"/>
          </w:tcPr>
          <w:p>
            <w:pPr>
              <w:widowControl/>
              <w:snapToGrid w:val="0"/>
              <w:jc w:val="center"/>
              <w:textAlignment w:val="center"/>
              <w:rPr>
                <w:sz w:val="22"/>
                <w:szCs w:val="22"/>
              </w:rPr>
            </w:pPr>
            <w:r>
              <w:rPr>
                <w:kern w:val="0"/>
                <w:sz w:val="22"/>
                <w:szCs w:val="22"/>
              </w:rPr>
              <w:t>单位类型</w:t>
            </w:r>
          </w:p>
        </w:tc>
        <w:tc>
          <w:tcPr>
            <w:tcW w:w="2378" w:type="dxa"/>
            <w:gridSpan w:val="2"/>
            <w:tcMar>
              <w:top w:w="15" w:type="dxa"/>
              <w:left w:w="15" w:type="dxa"/>
              <w:right w:w="15" w:type="dxa"/>
            </w:tcMar>
            <w:vAlign w:val="center"/>
          </w:tcPr>
          <w:p>
            <w:pPr>
              <w:widowControl/>
              <w:snapToGrid w:val="0"/>
              <w:jc w:val="left"/>
              <w:textAlignment w:val="center"/>
              <w:rPr>
                <w:kern w:val="0"/>
                <w:sz w:val="22"/>
                <w:szCs w:val="22"/>
              </w:rPr>
            </w:pPr>
            <w:r>
              <w:rPr>
                <w:kern w:val="0"/>
                <w:sz w:val="22"/>
                <w:szCs w:val="22"/>
              </w:rPr>
              <w:t>□中央企业；</w:t>
            </w:r>
          </w:p>
          <w:p>
            <w:pPr>
              <w:widowControl/>
              <w:snapToGrid w:val="0"/>
              <w:jc w:val="left"/>
              <w:textAlignment w:val="center"/>
              <w:rPr>
                <w:kern w:val="0"/>
                <w:sz w:val="22"/>
                <w:szCs w:val="22"/>
              </w:rPr>
            </w:pPr>
            <w:r>
              <w:rPr>
                <w:kern w:val="0"/>
                <w:sz w:val="22"/>
                <w:szCs w:val="22"/>
              </w:rPr>
              <w:t>□国有企业；</w:t>
            </w:r>
          </w:p>
          <w:p>
            <w:pPr>
              <w:widowControl/>
              <w:snapToGrid w:val="0"/>
              <w:jc w:val="left"/>
              <w:textAlignment w:val="center"/>
              <w:rPr>
                <w:kern w:val="0"/>
                <w:sz w:val="22"/>
                <w:szCs w:val="22"/>
              </w:rPr>
            </w:pPr>
            <w:r>
              <w:rPr>
                <w:kern w:val="0"/>
                <w:sz w:val="22"/>
                <w:szCs w:val="22"/>
              </w:rPr>
              <w:t>□中外合资企业；</w:t>
            </w:r>
          </w:p>
          <w:p>
            <w:pPr>
              <w:widowControl/>
              <w:snapToGrid w:val="0"/>
              <w:jc w:val="left"/>
              <w:textAlignment w:val="center"/>
              <w:rPr>
                <w:kern w:val="0"/>
                <w:sz w:val="22"/>
                <w:szCs w:val="22"/>
              </w:rPr>
            </w:pPr>
            <w:r>
              <w:rPr>
                <w:kern w:val="0"/>
                <w:sz w:val="22"/>
                <w:szCs w:val="22"/>
              </w:rPr>
              <w:t>□外商独资企业；</w:t>
            </w:r>
          </w:p>
          <w:p>
            <w:pPr>
              <w:widowControl/>
              <w:snapToGrid w:val="0"/>
              <w:jc w:val="left"/>
              <w:textAlignment w:val="center"/>
              <w:rPr>
                <w:kern w:val="0"/>
                <w:sz w:val="22"/>
                <w:szCs w:val="22"/>
              </w:rPr>
            </w:pPr>
            <w:r>
              <w:rPr>
                <w:kern w:val="0"/>
                <w:sz w:val="22"/>
                <w:szCs w:val="22"/>
              </w:rPr>
              <w:t>□民营企业；</w:t>
            </w:r>
          </w:p>
          <w:p>
            <w:pPr>
              <w:widowControl/>
              <w:snapToGrid w:val="0"/>
              <w:jc w:val="left"/>
              <w:textAlignment w:val="center"/>
              <w:rPr>
                <w:sz w:val="22"/>
                <w:szCs w:val="22"/>
              </w:rPr>
            </w:pPr>
            <w:r>
              <w:rPr>
                <w:kern w:val="0"/>
                <w:sz w:val="22"/>
                <w:szCs w:val="22"/>
              </w:rPr>
              <w:t>□其它</w:t>
            </w:r>
            <w:r>
              <w:rPr>
                <w:kern w:val="0"/>
                <w:sz w:val="16"/>
                <w:szCs w:val="16"/>
              </w:rPr>
              <w:t>（请注明）</w:t>
            </w:r>
            <w:r>
              <w:rPr>
                <w:kern w:val="0"/>
                <w:sz w:val="22"/>
                <w:szCs w:val="22"/>
              </w:rPr>
              <w:t>：</w:t>
            </w:r>
          </w:p>
        </w:tc>
        <w:tc>
          <w:tcPr>
            <w:tcW w:w="989" w:type="dxa"/>
            <w:tcMar>
              <w:top w:w="15" w:type="dxa"/>
              <w:left w:w="15" w:type="dxa"/>
              <w:right w:w="15" w:type="dxa"/>
            </w:tcMar>
            <w:vAlign w:val="center"/>
          </w:tcPr>
          <w:p>
            <w:pPr>
              <w:widowControl/>
              <w:snapToGrid w:val="0"/>
              <w:jc w:val="center"/>
              <w:textAlignment w:val="center"/>
              <w:rPr>
                <w:sz w:val="22"/>
                <w:szCs w:val="22"/>
              </w:rPr>
            </w:pPr>
            <w:r>
              <w:rPr>
                <w:kern w:val="0"/>
                <w:sz w:val="22"/>
                <w:szCs w:val="22"/>
              </w:rPr>
              <w:t>注册资本</w:t>
            </w:r>
            <w:r>
              <w:rPr>
                <w:kern w:val="0"/>
                <w:sz w:val="22"/>
                <w:szCs w:val="22"/>
              </w:rPr>
              <w:br w:type="textWrapping"/>
            </w:r>
            <w:r>
              <w:rPr>
                <w:kern w:val="0"/>
                <w:sz w:val="22"/>
                <w:szCs w:val="22"/>
              </w:rPr>
              <w:t>（或出资额）</w:t>
            </w:r>
          </w:p>
        </w:tc>
        <w:tc>
          <w:tcPr>
            <w:tcW w:w="2808" w:type="dxa"/>
            <w:gridSpan w:val="2"/>
            <w:tcMar>
              <w:top w:w="15" w:type="dxa"/>
              <w:left w:w="15" w:type="dxa"/>
              <w:right w:w="15" w:type="dxa"/>
            </w:tcMar>
            <w:vAlign w:val="center"/>
          </w:tcPr>
          <w:p>
            <w:pPr>
              <w:widowControl/>
              <w:snapToGrid w:val="0"/>
              <w:jc w:val="right"/>
              <w:textAlignment w:val="center"/>
              <w:rPr>
                <w:sz w:val="22"/>
                <w:szCs w:val="22"/>
              </w:rPr>
            </w:pPr>
            <w:r>
              <w:rPr>
                <w:kern w:val="0"/>
                <w:sz w:val="22"/>
                <w:szCs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675" w:type="dxa"/>
            <w:vMerge w:val="restart"/>
            <w:tcMar>
              <w:top w:w="15" w:type="dxa"/>
              <w:left w:w="15" w:type="dxa"/>
              <w:right w:w="15" w:type="dxa"/>
            </w:tcMar>
            <w:vAlign w:val="center"/>
          </w:tcPr>
          <w:p>
            <w:pPr>
              <w:widowControl/>
              <w:snapToGrid w:val="0"/>
              <w:jc w:val="center"/>
              <w:textAlignment w:val="center"/>
              <w:rPr>
                <w:kern w:val="0"/>
                <w:sz w:val="22"/>
                <w:szCs w:val="22"/>
              </w:rPr>
            </w:pPr>
            <w:r>
              <w:rPr>
                <w:b/>
                <w:bCs/>
                <w:kern w:val="0"/>
                <w:sz w:val="22"/>
                <w:szCs w:val="22"/>
              </w:rPr>
              <w:t>年度经营情况</w:t>
            </w:r>
          </w:p>
        </w:tc>
        <w:tc>
          <w:tcPr>
            <w:tcW w:w="1483" w:type="dxa"/>
            <w:tcMar>
              <w:top w:w="15" w:type="dxa"/>
              <w:left w:w="15" w:type="dxa"/>
              <w:right w:w="15" w:type="dxa"/>
            </w:tcMar>
            <w:vAlign w:val="center"/>
          </w:tcPr>
          <w:p>
            <w:pPr>
              <w:widowControl/>
              <w:snapToGrid w:val="0"/>
              <w:jc w:val="center"/>
              <w:textAlignment w:val="center"/>
              <w:rPr>
                <w:sz w:val="22"/>
                <w:szCs w:val="22"/>
              </w:rPr>
            </w:pPr>
            <w:r>
              <w:rPr>
                <w:kern w:val="0"/>
                <w:sz w:val="22"/>
                <w:szCs w:val="22"/>
              </w:rPr>
              <w:t>企业人员数量</w:t>
            </w:r>
          </w:p>
        </w:tc>
        <w:tc>
          <w:tcPr>
            <w:tcW w:w="2378" w:type="dxa"/>
            <w:gridSpan w:val="2"/>
            <w:tcMar>
              <w:top w:w="15" w:type="dxa"/>
              <w:left w:w="15" w:type="dxa"/>
              <w:right w:w="15" w:type="dxa"/>
            </w:tcMar>
            <w:vAlign w:val="center"/>
          </w:tcPr>
          <w:p>
            <w:pPr>
              <w:widowControl/>
              <w:snapToGrid w:val="0"/>
              <w:jc w:val="right"/>
              <w:textAlignment w:val="center"/>
              <w:rPr>
                <w:sz w:val="22"/>
                <w:szCs w:val="22"/>
              </w:rPr>
            </w:pPr>
            <w:r>
              <w:rPr>
                <w:kern w:val="0"/>
                <w:sz w:val="22"/>
                <w:szCs w:val="22"/>
              </w:rPr>
              <w:t>人</w:t>
            </w:r>
          </w:p>
        </w:tc>
        <w:tc>
          <w:tcPr>
            <w:tcW w:w="989" w:type="dxa"/>
            <w:tcMar>
              <w:top w:w="15" w:type="dxa"/>
              <w:left w:w="15" w:type="dxa"/>
              <w:right w:w="15" w:type="dxa"/>
            </w:tcMar>
            <w:vAlign w:val="center"/>
          </w:tcPr>
          <w:p>
            <w:pPr>
              <w:widowControl/>
              <w:snapToGrid w:val="0"/>
              <w:jc w:val="center"/>
              <w:textAlignment w:val="center"/>
              <w:rPr>
                <w:sz w:val="22"/>
                <w:szCs w:val="22"/>
              </w:rPr>
            </w:pPr>
            <w:r>
              <w:rPr>
                <w:sz w:val="22"/>
                <w:szCs w:val="22"/>
              </w:rPr>
              <w:t>净资产</w:t>
            </w:r>
          </w:p>
        </w:tc>
        <w:tc>
          <w:tcPr>
            <w:tcW w:w="2808" w:type="dxa"/>
            <w:gridSpan w:val="2"/>
            <w:tcMar>
              <w:top w:w="15" w:type="dxa"/>
              <w:left w:w="15" w:type="dxa"/>
              <w:right w:w="15" w:type="dxa"/>
            </w:tcMar>
            <w:vAlign w:val="center"/>
          </w:tcPr>
          <w:p>
            <w:pPr>
              <w:widowControl/>
              <w:snapToGrid w:val="0"/>
              <w:jc w:val="right"/>
              <w:textAlignment w:val="center"/>
              <w:rPr>
                <w:sz w:val="22"/>
                <w:szCs w:val="22"/>
              </w:rPr>
            </w:pPr>
            <w:r>
              <w:rPr>
                <w:kern w:val="0"/>
                <w:sz w:val="22"/>
                <w:szCs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675" w:type="dxa"/>
            <w:vMerge w:val="continue"/>
            <w:tcMar>
              <w:top w:w="15" w:type="dxa"/>
              <w:left w:w="15" w:type="dxa"/>
              <w:right w:w="15" w:type="dxa"/>
            </w:tcMar>
            <w:vAlign w:val="center"/>
          </w:tcPr>
          <w:p>
            <w:pPr>
              <w:widowControl/>
              <w:snapToGrid w:val="0"/>
              <w:jc w:val="center"/>
              <w:textAlignment w:val="center"/>
              <w:rPr>
                <w:kern w:val="0"/>
                <w:sz w:val="22"/>
                <w:szCs w:val="22"/>
              </w:rPr>
            </w:pPr>
          </w:p>
        </w:tc>
        <w:tc>
          <w:tcPr>
            <w:tcW w:w="1483" w:type="dxa"/>
            <w:tcMar>
              <w:top w:w="15" w:type="dxa"/>
              <w:left w:w="15" w:type="dxa"/>
              <w:right w:w="15" w:type="dxa"/>
            </w:tcMar>
            <w:vAlign w:val="center"/>
          </w:tcPr>
          <w:p>
            <w:pPr>
              <w:widowControl/>
              <w:snapToGrid w:val="0"/>
              <w:jc w:val="center"/>
              <w:textAlignment w:val="center"/>
              <w:rPr>
                <w:sz w:val="22"/>
                <w:szCs w:val="22"/>
              </w:rPr>
            </w:pPr>
            <w:r>
              <w:rPr>
                <w:kern w:val="0"/>
                <w:sz w:val="22"/>
                <w:szCs w:val="22"/>
              </w:rPr>
              <w:t>营业收入</w:t>
            </w:r>
          </w:p>
        </w:tc>
        <w:tc>
          <w:tcPr>
            <w:tcW w:w="2378" w:type="dxa"/>
            <w:gridSpan w:val="2"/>
            <w:tcMar>
              <w:top w:w="15" w:type="dxa"/>
              <w:left w:w="15" w:type="dxa"/>
              <w:right w:w="15" w:type="dxa"/>
            </w:tcMar>
            <w:vAlign w:val="center"/>
          </w:tcPr>
          <w:p>
            <w:pPr>
              <w:widowControl/>
              <w:snapToGrid w:val="0"/>
              <w:jc w:val="right"/>
              <w:rPr>
                <w:sz w:val="22"/>
                <w:szCs w:val="22"/>
              </w:rPr>
            </w:pPr>
            <w:r>
              <w:rPr>
                <w:kern w:val="0"/>
                <w:sz w:val="22"/>
                <w:szCs w:val="22"/>
              </w:rPr>
              <w:t>万元</w:t>
            </w:r>
          </w:p>
        </w:tc>
        <w:tc>
          <w:tcPr>
            <w:tcW w:w="989" w:type="dxa"/>
            <w:tcMar>
              <w:top w:w="15" w:type="dxa"/>
              <w:left w:w="15" w:type="dxa"/>
              <w:right w:w="15" w:type="dxa"/>
            </w:tcMar>
            <w:vAlign w:val="center"/>
          </w:tcPr>
          <w:p>
            <w:pPr>
              <w:widowControl/>
              <w:snapToGrid w:val="0"/>
              <w:jc w:val="center"/>
              <w:textAlignment w:val="center"/>
              <w:rPr>
                <w:sz w:val="22"/>
                <w:szCs w:val="22"/>
              </w:rPr>
            </w:pPr>
            <w:r>
              <w:rPr>
                <w:kern w:val="0"/>
                <w:sz w:val="22"/>
                <w:szCs w:val="22"/>
              </w:rPr>
              <w:t>纳税总额</w:t>
            </w:r>
          </w:p>
        </w:tc>
        <w:tc>
          <w:tcPr>
            <w:tcW w:w="2808" w:type="dxa"/>
            <w:gridSpan w:val="2"/>
            <w:tcMar>
              <w:top w:w="15" w:type="dxa"/>
              <w:left w:w="15" w:type="dxa"/>
              <w:right w:w="15" w:type="dxa"/>
            </w:tcMar>
            <w:vAlign w:val="center"/>
          </w:tcPr>
          <w:p>
            <w:pPr>
              <w:widowControl/>
              <w:snapToGrid w:val="0"/>
              <w:jc w:val="right"/>
              <w:textAlignment w:val="center"/>
              <w:rPr>
                <w:sz w:val="22"/>
                <w:szCs w:val="22"/>
              </w:rPr>
            </w:pPr>
            <w:r>
              <w:rPr>
                <w:kern w:val="0"/>
                <w:sz w:val="22"/>
                <w:szCs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675" w:type="dxa"/>
            <w:vMerge w:val="restart"/>
            <w:tcMar>
              <w:top w:w="15" w:type="dxa"/>
              <w:left w:w="15" w:type="dxa"/>
              <w:right w:w="15" w:type="dxa"/>
            </w:tcMar>
            <w:vAlign w:val="center"/>
          </w:tcPr>
          <w:p>
            <w:pPr>
              <w:widowControl/>
              <w:snapToGrid w:val="0"/>
              <w:jc w:val="center"/>
              <w:textAlignment w:val="center"/>
              <w:rPr>
                <w:b/>
                <w:bCs/>
                <w:kern w:val="0"/>
                <w:sz w:val="22"/>
                <w:szCs w:val="22"/>
              </w:rPr>
            </w:pPr>
            <w:r>
              <w:rPr>
                <w:b/>
                <w:bCs/>
                <w:kern w:val="0"/>
                <w:sz w:val="22"/>
                <w:szCs w:val="22"/>
              </w:rPr>
              <w:t>申</w:t>
            </w:r>
            <w:r>
              <w:rPr>
                <w:rFonts w:hint="eastAsia"/>
                <w:b/>
                <w:bCs/>
                <w:kern w:val="0"/>
                <w:sz w:val="22"/>
                <w:szCs w:val="22"/>
              </w:rPr>
              <w:t>报</w:t>
            </w:r>
            <w:r>
              <w:rPr>
                <w:b/>
                <w:bCs/>
                <w:kern w:val="0"/>
                <w:sz w:val="22"/>
                <w:szCs w:val="22"/>
              </w:rPr>
              <w:t>支持类型及金额</w:t>
            </w:r>
          </w:p>
        </w:tc>
        <w:tc>
          <w:tcPr>
            <w:tcW w:w="1483" w:type="dxa"/>
            <w:tcMar>
              <w:top w:w="15" w:type="dxa"/>
              <w:left w:w="15" w:type="dxa"/>
              <w:right w:w="15" w:type="dxa"/>
            </w:tcMar>
            <w:vAlign w:val="center"/>
          </w:tcPr>
          <w:p>
            <w:pPr>
              <w:widowControl/>
              <w:snapToGrid w:val="0"/>
              <w:jc w:val="center"/>
              <w:textAlignment w:val="center"/>
              <w:rPr>
                <w:kern w:val="0"/>
                <w:sz w:val="22"/>
                <w:szCs w:val="22"/>
              </w:rPr>
            </w:pPr>
            <w:r>
              <w:rPr>
                <w:rFonts w:hint="eastAsia"/>
                <w:kern w:val="0"/>
                <w:sz w:val="22"/>
                <w:szCs w:val="22"/>
              </w:rPr>
              <w:t>申报政策名称</w:t>
            </w:r>
          </w:p>
        </w:tc>
        <w:tc>
          <w:tcPr>
            <w:tcW w:w="6175" w:type="dxa"/>
            <w:gridSpan w:val="5"/>
            <w:tcMar>
              <w:top w:w="15" w:type="dxa"/>
              <w:left w:w="15" w:type="dxa"/>
              <w:right w:w="15" w:type="dxa"/>
            </w:tcMar>
            <w:vAlign w:val="center"/>
          </w:tcPr>
          <w:p>
            <w:pPr>
              <w:widowControl/>
              <w:snapToGrid w:val="0"/>
              <w:ind w:firstLine="1120" w:firstLineChars="400"/>
              <w:textAlignment w:val="center"/>
              <w:rPr>
                <w:sz w:val="22"/>
                <w:szCs w:val="22"/>
                <w:highlight w:val="none"/>
              </w:rPr>
            </w:pPr>
            <w:r>
              <w:rPr>
                <w:sz w:val="28"/>
                <w:szCs w:val="22"/>
                <w:highlight w:val="none"/>
              </w:rPr>
              <w:t>□</w:t>
            </w:r>
            <w:r>
              <w:rPr>
                <w:rFonts w:hint="eastAsia"/>
                <w:sz w:val="22"/>
                <w:szCs w:val="22"/>
                <w:highlight w:val="none"/>
              </w:rPr>
              <w:t>支持</w:t>
            </w:r>
            <w:r>
              <w:rPr>
                <w:sz w:val="22"/>
                <w:szCs w:val="22"/>
                <w:highlight w:val="none"/>
              </w:rPr>
              <w:t>企业参展开拓市场</w:t>
            </w:r>
          </w:p>
          <w:p>
            <w:pPr>
              <w:widowControl/>
              <w:snapToGrid w:val="0"/>
              <w:ind w:firstLine="1120" w:firstLineChars="400"/>
              <w:textAlignment w:val="center"/>
              <w:rPr>
                <w:sz w:val="22"/>
                <w:szCs w:val="22"/>
                <w:highlight w:val="none"/>
              </w:rPr>
            </w:pPr>
            <w:r>
              <w:rPr>
                <w:sz w:val="28"/>
                <w:szCs w:val="22"/>
                <w:highlight w:val="none"/>
              </w:rPr>
              <w:t>□</w:t>
            </w:r>
            <w:r>
              <w:rPr>
                <w:rFonts w:hint="eastAsia"/>
                <w:sz w:val="22"/>
                <w:szCs w:val="22"/>
                <w:highlight w:val="none"/>
              </w:rPr>
              <w:t>促进企业国际化经营能力提升</w:t>
            </w:r>
          </w:p>
          <w:p>
            <w:pPr>
              <w:widowControl/>
              <w:snapToGrid w:val="0"/>
              <w:ind w:firstLine="1120" w:firstLineChars="400"/>
              <w:textAlignment w:val="center"/>
              <w:rPr>
                <w:sz w:val="22"/>
                <w:szCs w:val="22"/>
                <w:highlight w:val="none"/>
              </w:rPr>
            </w:pPr>
            <w:r>
              <w:rPr>
                <w:sz w:val="28"/>
                <w:szCs w:val="22"/>
                <w:highlight w:val="none"/>
              </w:rPr>
              <w:t>□</w:t>
            </w:r>
            <w:r>
              <w:rPr>
                <w:rFonts w:hint="eastAsia"/>
                <w:sz w:val="22"/>
                <w:szCs w:val="22"/>
                <w:highlight w:val="none"/>
              </w:rPr>
              <w:t>鼓励进出口外贸企业办理人民币外汇衍生品业务</w:t>
            </w:r>
            <w:r>
              <w:rPr>
                <w:sz w:val="22"/>
                <w:szCs w:val="22"/>
                <w:highlight w:val="none"/>
              </w:rPr>
              <w:t xml:space="preserve"> </w:t>
            </w:r>
          </w:p>
          <w:p>
            <w:pPr>
              <w:widowControl/>
              <w:snapToGrid w:val="0"/>
              <w:ind w:firstLine="1120" w:firstLineChars="400"/>
              <w:textAlignment w:val="center"/>
              <w:rPr>
                <w:rFonts w:hint="eastAsia" w:eastAsia="宋体"/>
                <w:sz w:val="22"/>
                <w:szCs w:val="22"/>
                <w:highlight w:val="none"/>
                <w:lang w:eastAsia="zh-CN"/>
              </w:rPr>
            </w:pPr>
            <w:r>
              <w:rPr>
                <w:sz w:val="28"/>
                <w:szCs w:val="22"/>
                <w:highlight w:val="none"/>
              </w:rPr>
              <w:t>□</w:t>
            </w:r>
            <w:r>
              <w:rPr>
                <w:rFonts w:hint="eastAsia"/>
                <w:sz w:val="22"/>
                <w:szCs w:val="22"/>
                <w:highlight w:val="none"/>
              </w:rPr>
              <w:t>支持特色农产品（包括使用平谷区农产品的深加工产品）出口</w:t>
            </w:r>
          </w:p>
          <w:p>
            <w:pPr>
              <w:widowControl/>
              <w:snapToGrid w:val="0"/>
              <w:ind w:firstLine="1120" w:firstLineChars="400"/>
              <w:textAlignment w:val="center"/>
              <w:rPr>
                <w:sz w:val="22"/>
                <w:szCs w:val="22"/>
                <w:highlight w:val="none"/>
              </w:rPr>
            </w:pPr>
            <w:r>
              <w:rPr>
                <w:sz w:val="28"/>
                <w:szCs w:val="22"/>
                <w:highlight w:val="none"/>
              </w:rPr>
              <w:t>□</w:t>
            </w:r>
            <w:r>
              <w:rPr>
                <w:rFonts w:hint="eastAsia"/>
                <w:sz w:val="22"/>
                <w:szCs w:val="22"/>
                <w:highlight w:val="none"/>
              </w:rPr>
              <w:t>支持农业科技企业开展自主创新</w:t>
            </w:r>
            <w:r>
              <w:rPr>
                <w:rFonts w:hint="eastAsia"/>
                <w:sz w:val="22"/>
                <w:szCs w:val="22"/>
                <w:highlight w:val="none"/>
                <w:lang w:eastAsia="zh-CN"/>
              </w:rPr>
              <w:t>【</w:t>
            </w:r>
            <w:r>
              <w:rPr>
                <w:rFonts w:hint="eastAsia"/>
                <w:sz w:val="22"/>
                <w:szCs w:val="22"/>
                <w:highlight w:val="none"/>
                <w:lang w:val="en-US" w:eastAsia="zh-CN"/>
              </w:rPr>
              <w:sym w:font="Wingdings" w:char="00A8"/>
            </w:r>
            <w:r>
              <w:rPr>
                <w:rFonts w:hint="eastAsia"/>
                <w:sz w:val="22"/>
                <w:szCs w:val="22"/>
                <w:highlight w:val="none"/>
                <w:lang w:val="en-US" w:eastAsia="zh-CN"/>
              </w:rPr>
              <w:t xml:space="preserve">首次    </w:t>
            </w:r>
            <w:r>
              <w:rPr>
                <w:rFonts w:hint="eastAsia"/>
                <w:sz w:val="22"/>
                <w:szCs w:val="22"/>
                <w:highlight w:val="none"/>
                <w:lang w:val="en-US" w:eastAsia="zh-CN"/>
              </w:rPr>
              <w:sym w:font="Wingdings" w:char="00A8"/>
            </w:r>
            <w:r>
              <w:rPr>
                <w:rFonts w:hint="eastAsia"/>
                <w:sz w:val="22"/>
                <w:szCs w:val="22"/>
                <w:highlight w:val="none"/>
                <w:lang w:val="en-US" w:eastAsia="zh-CN"/>
              </w:rPr>
              <w:t>二三年连续出口</w:t>
            </w:r>
            <w:r>
              <w:rPr>
                <w:rFonts w:hint="eastAsia"/>
                <w:sz w:val="22"/>
                <w:szCs w:val="22"/>
                <w:highlight w:val="none"/>
                <w:lang w:eastAsia="zh-CN"/>
              </w:rPr>
              <w:t>】</w:t>
            </w:r>
          </w:p>
          <w:p>
            <w:pPr>
              <w:widowControl/>
              <w:snapToGrid w:val="0"/>
              <w:ind w:left="279" w:leftChars="133" w:firstLine="840" w:firstLineChars="300"/>
              <w:textAlignment w:val="center"/>
              <w:rPr>
                <w:sz w:val="22"/>
                <w:szCs w:val="22"/>
              </w:rPr>
            </w:pPr>
            <w:r>
              <w:rPr>
                <w:sz w:val="28"/>
                <w:szCs w:val="22"/>
                <w:highlight w:val="none"/>
              </w:rPr>
              <w:t>□</w:t>
            </w:r>
            <w:r>
              <w:rPr>
                <w:rFonts w:hint="eastAsia"/>
                <w:sz w:val="22"/>
                <w:szCs w:val="22"/>
                <w:highlight w:val="none"/>
              </w:rPr>
              <w:t>支持企业开展对外直接投资</w:t>
            </w:r>
            <w:r>
              <w:rPr>
                <w:rFonts w:hint="eastAsia"/>
                <w:sz w:val="22"/>
                <w:szCs w:val="22"/>
                <w:highlight w:val="none"/>
                <w:lang w:eastAsia="zh-CN"/>
              </w:rPr>
              <w:t>【</w:t>
            </w:r>
            <w:r>
              <w:rPr>
                <w:rFonts w:hint="eastAsia" w:ascii="Times New Roman" w:hAnsi="Times New Roman" w:eastAsia="宋体" w:cs="Times New Roman"/>
                <w:bCs w:val="0"/>
                <w:color w:val="auto"/>
                <w:sz w:val="22"/>
                <w:szCs w:val="22"/>
                <w:highlight w:val="none"/>
              </w:rPr>
              <w:t>年度直接投资额</w:t>
            </w:r>
            <w:r>
              <w:rPr>
                <w:rFonts w:hint="eastAsia" w:cs="Times New Roman"/>
                <w:bCs w:val="0"/>
                <w:sz w:val="22"/>
                <w:szCs w:val="22"/>
                <w:highlight w:val="none"/>
                <w:lang w:val="en-US" w:eastAsia="zh-CN"/>
              </w:rPr>
              <w:t>：</w:t>
            </w:r>
            <w:r>
              <w:rPr>
                <w:rFonts w:hint="eastAsia" w:cs="Times New Roman"/>
                <w:bCs w:val="0"/>
                <w:sz w:val="22"/>
                <w:szCs w:val="22"/>
                <w:highlight w:val="none"/>
                <w:lang w:val="en-US" w:eastAsia="zh-CN"/>
              </w:rPr>
              <w:sym w:font="Wingdings" w:char="00A8"/>
            </w:r>
            <w:r>
              <w:rPr>
                <w:rFonts w:hint="eastAsia" w:ascii="Times New Roman" w:hAnsi="Times New Roman" w:eastAsia="宋体" w:cs="Times New Roman"/>
                <w:bCs w:val="0"/>
                <w:color w:val="auto"/>
                <w:sz w:val="22"/>
                <w:szCs w:val="22"/>
                <w:highlight w:val="none"/>
              </w:rPr>
              <w:t>100-500万美元</w:t>
            </w:r>
            <w:r>
              <w:rPr>
                <w:rFonts w:hint="eastAsia" w:eastAsia="宋体" w:cs="Times New Roman"/>
                <w:bCs w:val="0"/>
                <w:color w:val="auto"/>
                <w:sz w:val="22"/>
                <w:szCs w:val="22"/>
                <w:highlight w:val="none"/>
                <w:lang w:val="en-US" w:eastAsia="zh-CN"/>
              </w:rPr>
              <w:t xml:space="preserve">  </w:t>
            </w:r>
            <w:r>
              <w:rPr>
                <w:rFonts w:hint="eastAsia" w:eastAsia="宋体" w:cs="Times New Roman"/>
                <w:bCs w:val="0"/>
                <w:sz w:val="22"/>
                <w:szCs w:val="22"/>
                <w:highlight w:val="none"/>
                <w:lang w:val="en-US" w:eastAsia="zh-CN"/>
              </w:rPr>
              <w:sym w:font="Wingdings" w:char="00A8"/>
            </w:r>
            <w:r>
              <w:rPr>
                <w:rFonts w:hint="eastAsia" w:eastAsia="宋体" w:cs="Times New Roman"/>
                <w:bCs w:val="0"/>
                <w:color w:val="auto"/>
                <w:sz w:val="22"/>
                <w:szCs w:val="22"/>
                <w:highlight w:val="none"/>
                <w:lang w:val="en-US" w:eastAsia="zh-CN"/>
              </w:rPr>
              <w:t xml:space="preserve"> 500</w:t>
            </w:r>
            <w:r>
              <w:rPr>
                <w:rFonts w:hint="eastAsia" w:cs="Times New Roman"/>
                <w:bCs w:val="0"/>
                <w:sz w:val="22"/>
                <w:szCs w:val="22"/>
                <w:highlight w:val="none"/>
                <w:lang w:val="en-US" w:eastAsia="zh-CN"/>
              </w:rPr>
              <w:t>（含）</w:t>
            </w:r>
            <w:r>
              <w:rPr>
                <w:rFonts w:hint="eastAsia" w:eastAsia="宋体" w:cs="Times New Roman"/>
                <w:bCs w:val="0"/>
                <w:color w:val="auto"/>
                <w:sz w:val="22"/>
                <w:szCs w:val="22"/>
                <w:highlight w:val="none"/>
                <w:lang w:val="en-US" w:eastAsia="zh-CN"/>
              </w:rPr>
              <w:t xml:space="preserve">-1000万美元 </w:t>
            </w:r>
            <w:r>
              <w:rPr>
                <w:rFonts w:hint="eastAsia" w:eastAsia="宋体" w:cs="Times New Roman"/>
                <w:bCs w:val="0"/>
                <w:sz w:val="22"/>
                <w:szCs w:val="22"/>
                <w:highlight w:val="none"/>
                <w:lang w:val="en-US" w:eastAsia="zh-CN"/>
              </w:rPr>
              <w:sym w:font="Wingdings" w:char="00A8"/>
            </w:r>
            <w:r>
              <w:rPr>
                <w:rFonts w:hint="eastAsia" w:eastAsia="宋体" w:cs="Times New Roman"/>
                <w:bCs w:val="0"/>
                <w:color w:val="auto"/>
                <w:sz w:val="22"/>
                <w:szCs w:val="22"/>
                <w:highlight w:val="none"/>
                <w:lang w:val="en-US" w:eastAsia="zh-CN"/>
              </w:rPr>
              <w:t xml:space="preserve"> 1000万美元</w:t>
            </w:r>
            <w:r>
              <w:rPr>
                <w:rFonts w:hint="eastAsia" w:cs="Times New Roman"/>
                <w:bCs w:val="0"/>
                <w:sz w:val="22"/>
                <w:szCs w:val="22"/>
                <w:highlight w:val="none"/>
                <w:lang w:val="en-US" w:eastAsia="zh-CN"/>
              </w:rPr>
              <w:t>（含）</w:t>
            </w:r>
            <w:r>
              <w:rPr>
                <w:rFonts w:hint="eastAsia" w:eastAsia="宋体" w:cs="Times New Roman"/>
                <w:bCs w:val="0"/>
                <w:color w:val="auto"/>
                <w:sz w:val="22"/>
                <w:szCs w:val="22"/>
                <w:highlight w:val="none"/>
                <w:lang w:val="en-US" w:eastAsia="zh-CN"/>
              </w:rPr>
              <w:t>以上</w:t>
            </w:r>
            <w:r>
              <w:rPr>
                <w:rFonts w:hint="eastAsia"/>
                <w:sz w:val="22"/>
                <w:szCs w:val="22"/>
                <w:highlight w:val="none"/>
                <w:lang w:eastAsia="zh-CN"/>
              </w:rPr>
              <w:t>】</w:t>
            </w:r>
            <w:r>
              <w:rPr>
                <w:rFonts w:hint="eastAsia"/>
                <w:sz w:val="22"/>
                <w:szCs w:val="22"/>
                <w:highlight w:val="none"/>
              </w:rPr>
              <w:t xml:space="preserve">  </w:t>
            </w:r>
            <w:r>
              <w:rPr>
                <w:sz w:val="22"/>
                <w:szCs w:val="2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8" w:hRule="atLeast"/>
          <w:jc w:val="center"/>
        </w:trPr>
        <w:tc>
          <w:tcPr>
            <w:tcW w:w="675" w:type="dxa"/>
            <w:vMerge w:val="continue"/>
            <w:tcMar>
              <w:top w:w="15" w:type="dxa"/>
              <w:left w:w="15" w:type="dxa"/>
              <w:right w:w="15" w:type="dxa"/>
            </w:tcMar>
            <w:vAlign w:val="center"/>
          </w:tcPr>
          <w:p>
            <w:pPr>
              <w:widowControl/>
              <w:snapToGrid w:val="0"/>
              <w:jc w:val="center"/>
              <w:textAlignment w:val="center"/>
              <w:rPr>
                <w:b/>
                <w:bCs/>
                <w:kern w:val="0"/>
                <w:sz w:val="22"/>
                <w:szCs w:val="22"/>
              </w:rPr>
            </w:pPr>
          </w:p>
        </w:tc>
        <w:tc>
          <w:tcPr>
            <w:tcW w:w="1483" w:type="dxa"/>
            <w:tcMar>
              <w:top w:w="15" w:type="dxa"/>
              <w:left w:w="15" w:type="dxa"/>
              <w:right w:w="15" w:type="dxa"/>
            </w:tcMar>
            <w:vAlign w:val="center"/>
          </w:tcPr>
          <w:p>
            <w:pPr>
              <w:widowControl/>
              <w:snapToGrid w:val="0"/>
              <w:jc w:val="center"/>
              <w:textAlignment w:val="center"/>
              <w:rPr>
                <w:kern w:val="0"/>
                <w:sz w:val="22"/>
                <w:szCs w:val="22"/>
              </w:rPr>
            </w:pPr>
            <w:r>
              <w:rPr>
                <w:rFonts w:hint="eastAsia"/>
                <w:kern w:val="0"/>
                <w:sz w:val="22"/>
                <w:szCs w:val="22"/>
              </w:rPr>
              <w:t>申</w:t>
            </w:r>
            <w:r>
              <w:rPr>
                <w:kern w:val="0"/>
                <w:sz w:val="22"/>
                <w:szCs w:val="22"/>
              </w:rPr>
              <w:t xml:space="preserve"> </w:t>
            </w:r>
            <w:r>
              <w:rPr>
                <w:rFonts w:hint="eastAsia"/>
                <w:kern w:val="0"/>
                <w:sz w:val="22"/>
                <w:szCs w:val="22"/>
              </w:rPr>
              <w:t>报</w:t>
            </w:r>
            <w:r>
              <w:rPr>
                <w:kern w:val="0"/>
                <w:sz w:val="22"/>
                <w:szCs w:val="22"/>
              </w:rPr>
              <w:t xml:space="preserve"> </w:t>
            </w:r>
            <w:r>
              <w:rPr>
                <w:rFonts w:hint="eastAsia"/>
                <w:kern w:val="0"/>
                <w:sz w:val="22"/>
                <w:szCs w:val="22"/>
              </w:rPr>
              <w:t>支</w:t>
            </w:r>
            <w:r>
              <w:rPr>
                <w:kern w:val="0"/>
                <w:sz w:val="22"/>
                <w:szCs w:val="22"/>
              </w:rPr>
              <w:t xml:space="preserve"> </w:t>
            </w:r>
            <w:r>
              <w:rPr>
                <w:rFonts w:hint="eastAsia"/>
                <w:kern w:val="0"/>
                <w:sz w:val="22"/>
                <w:szCs w:val="22"/>
              </w:rPr>
              <w:t>持</w:t>
            </w:r>
          </w:p>
          <w:p>
            <w:pPr>
              <w:widowControl/>
              <w:snapToGrid w:val="0"/>
              <w:jc w:val="center"/>
              <w:textAlignment w:val="center"/>
              <w:rPr>
                <w:sz w:val="22"/>
                <w:szCs w:val="22"/>
              </w:rPr>
            </w:pPr>
            <w:r>
              <w:rPr>
                <w:kern w:val="0"/>
                <w:sz w:val="22"/>
                <w:szCs w:val="22"/>
              </w:rPr>
              <w:t xml:space="preserve"> </w:t>
            </w:r>
            <w:r>
              <w:rPr>
                <w:rFonts w:hint="eastAsia"/>
                <w:kern w:val="0"/>
                <w:sz w:val="22"/>
                <w:szCs w:val="22"/>
              </w:rPr>
              <w:t>金额（万元）</w:t>
            </w:r>
          </w:p>
        </w:tc>
        <w:tc>
          <w:tcPr>
            <w:tcW w:w="6175" w:type="dxa"/>
            <w:gridSpan w:val="5"/>
            <w:tcMar>
              <w:top w:w="15" w:type="dxa"/>
              <w:left w:w="15" w:type="dxa"/>
              <w:right w:w="15" w:type="dxa"/>
            </w:tcMar>
            <w:vAlign w:val="center"/>
          </w:tcPr>
          <w:p>
            <w:pPr>
              <w:widowControl/>
              <w:snapToGrid w:val="0"/>
              <w:jc w:val="right"/>
              <w:textAlignment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3" w:hRule="atLeast"/>
          <w:jc w:val="center"/>
        </w:trPr>
        <w:tc>
          <w:tcPr>
            <w:tcW w:w="675" w:type="dxa"/>
            <w:tcMar>
              <w:top w:w="15" w:type="dxa"/>
              <w:left w:w="15" w:type="dxa"/>
              <w:right w:w="15" w:type="dxa"/>
            </w:tcMar>
            <w:vAlign w:val="center"/>
          </w:tcPr>
          <w:p>
            <w:pPr>
              <w:widowControl/>
              <w:snapToGrid w:val="0"/>
              <w:jc w:val="center"/>
              <w:rPr>
                <w:b/>
                <w:bCs/>
                <w:sz w:val="22"/>
                <w:szCs w:val="22"/>
              </w:rPr>
            </w:pPr>
            <w:r>
              <w:rPr>
                <w:b/>
                <w:bCs/>
                <w:sz w:val="22"/>
                <w:szCs w:val="22"/>
              </w:rPr>
              <w:t>申请材料真实性声明</w:t>
            </w:r>
          </w:p>
        </w:tc>
        <w:tc>
          <w:tcPr>
            <w:tcW w:w="7658" w:type="dxa"/>
            <w:gridSpan w:val="6"/>
            <w:tcMar>
              <w:top w:w="15" w:type="dxa"/>
              <w:left w:w="15" w:type="dxa"/>
              <w:right w:w="15" w:type="dxa"/>
            </w:tcMar>
            <w:vAlign w:val="center"/>
          </w:tcPr>
          <w:p>
            <w:pPr>
              <w:widowControl/>
              <w:tabs>
                <w:tab w:val="left" w:pos="841"/>
              </w:tabs>
              <w:snapToGrid w:val="0"/>
              <w:ind w:firstLine="440" w:firstLineChars="200"/>
              <w:textAlignment w:val="center"/>
              <w:rPr>
                <w:kern w:val="0"/>
                <w:sz w:val="22"/>
                <w:szCs w:val="22"/>
              </w:rPr>
            </w:pPr>
            <w:r>
              <w:rPr>
                <w:kern w:val="0"/>
                <w:sz w:val="22"/>
                <w:szCs w:val="22"/>
              </w:rPr>
              <w:t>本单位承诺对申报材料的真实性、完整性负责，对申报资格和申报条件的符合性负责。违反上述承诺的不诚信行为，同意有关部门录入相关的企业征信体系中，自愿放弃今后</w:t>
            </w:r>
            <w:r>
              <w:rPr>
                <w:rFonts w:hint="eastAsia"/>
                <w:kern w:val="0"/>
                <w:sz w:val="22"/>
                <w:szCs w:val="22"/>
              </w:rPr>
              <w:t>平谷区外经贸发展相关政策</w:t>
            </w:r>
            <w:r>
              <w:rPr>
                <w:kern w:val="0"/>
                <w:sz w:val="22"/>
                <w:szCs w:val="22"/>
              </w:rPr>
              <w:t>申报资格，如被发现存在弄虚作假骗取政府奖励补助资金的情况，我单位愿意主动承担相关违法违规责任，接受处理。</w:t>
            </w:r>
          </w:p>
          <w:p>
            <w:pPr>
              <w:widowControl/>
              <w:tabs>
                <w:tab w:val="left" w:pos="841"/>
              </w:tabs>
              <w:snapToGrid w:val="0"/>
              <w:ind w:firstLine="440" w:firstLineChars="200"/>
              <w:textAlignment w:val="center"/>
              <w:rPr>
                <w:kern w:val="0"/>
                <w:sz w:val="22"/>
                <w:szCs w:val="22"/>
              </w:rPr>
            </w:pPr>
            <w:r>
              <w:rPr>
                <w:kern w:val="0"/>
                <w:sz w:val="22"/>
                <w:szCs w:val="22"/>
              </w:rPr>
              <w:t xml:space="preserve">本单位同意审核单位向统计、财政、税务、市场监管等部门查询核对我单位申报材料信息。  </w:t>
            </w:r>
          </w:p>
          <w:p>
            <w:pPr>
              <w:widowControl/>
              <w:tabs>
                <w:tab w:val="left" w:pos="841"/>
              </w:tabs>
              <w:wordWrap w:val="0"/>
              <w:snapToGrid w:val="0"/>
              <w:ind w:firstLine="440" w:firstLineChars="200"/>
              <w:jc w:val="right"/>
              <w:textAlignment w:val="center"/>
              <w:rPr>
                <w:kern w:val="0"/>
                <w:sz w:val="22"/>
                <w:szCs w:val="22"/>
              </w:rPr>
            </w:pPr>
          </w:p>
          <w:p>
            <w:pPr>
              <w:widowControl/>
              <w:tabs>
                <w:tab w:val="left" w:pos="841"/>
              </w:tabs>
              <w:wordWrap w:val="0"/>
              <w:snapToGrid w:val="0"/>
              <w:ind w:firstLine="440" w:firstLineChars="200"/>
              <w:jc w:val="right"/>
              <w:textAlignment w:val="center"/>
              <w:rPr>
                <w:kern w:val="0"/>
                <w:sz w:val="22"/>
                <w:szCs w:val="22"/>
              </w:rPr>
            </w:pPr>
          </w:p>
          <w:p>
            <w:pPr>
              <w:widowControl/>
              <w:tabs>
                <w:tab w:val="left" w:pos="841"/>
              </w:tabs>
              <w:wordWrap w:val="0"/>
              <w:snapToGrid w:val="0"/>
              <w:ind w:firstLine="440" w:firstLineChars="200"/>
              <w:jc w:val="right"/>
              <w:textAlignment w:val="center"/>
              <w:rPr>
                <w:kern w:val="0"/>
                <w:sz w:val="22"/>
                <w:szCs w:val="22"/>
              </w:rPr>
            </w:pPr>
          </w:p>
          <w:p>
            <w:pPr>
              <w:widowControl/>
              <w:tabs>
                <w:tab w:val="left" w:pos="841"/>
              </w:tabs>
              <w:wordWrap w:val="0"/>
              <w:snapToGrid w:val="0"/>
              <w:ind w:firstLine="440" w:firstLineChars="200"/>
              <w:jc w:val="center"/>
              <w:textAlignment w:val="center"/>
              <w:rPr>
                <w:kern w:val="0"/>
                <w:sz w:val="22"/>
                <w:szCs w:val="22"/>
              </w:rPr>
            </w:pPr>
          </w:p>
          <w:p>
            <w:pPr>
              <w:widowControl/>
              <w:tabs>
                <w:tab w:val="left" w:pos="841"/>
              </w:tabs>
              <w:wordWrap w:val="0"/>
              <w:snapToGrid w:val="0"/>
              <w:ind w:firstLine="440" w:firstLineChars="200"/>
              <w:jc w:val="center"/>
              <w:textAlignment w:val="center"/>
              <w:rPr>
                <w:kern w:val="0"/>
                <w:sz w:val="22"/>
                <w:szCs w:val="22"/>
              </w:rPr>
            </w:pPr>
          </w:p>
          <w:p>
            <w:pPr>
              <w:widowControl/>
              <w:tabs>
                <w:tab w:val="left" w:pos="841"/>
              </w:tabs>
              <w:wordWrap w:val="0"/>
              <w:snapToGrid w:val="0"/>
              <w:ind w:firstLine="440" w:firstLineChars="200"/>
              <w:jc w:val="center"/>
              <w:textAlignment w:val="center"/>
              <w:rPr>
                <w:kern w:val="0"/>
                <w:sz w:val="22"/>
                <w:szCs w:val="22"/>
              </w:rPr>
            </w:pPr>
            <w:r>
              <w:rPr>
                <w:kern w:val="0"/>
                <w:sz w:val="22"/>
                <w:szCs w:val="22"/>
              </w:rPr>
              <w:t xml:space="preserve">法定代表人（或授权代表）： </w:t>
            </w:r>
          </w:p>
          <w:p>
            <w:pPr>
              <w:widowControl/>
              <w:tabs>
                <w:tab w:val="left" w:pos="841"/>
              </w:tabs>
              <w:wordWrap w:val="0"/>
              <w:snapToGrid w:val="0"/>
              <w:ind w:firstLine="440" w:firstLineChars="200"/>
              <w:jc w:val="right"/>
              <w:textAlignment w:val="center"/>
              <w:rPr>
                <w:kern w:val="0"/>
                <w:sz w:val="22"/>
                <w:szCs w:val="22"/>
              </w:rPr>
            </w:pPr>
          </w:p>
          <w:p>
            <w:pPr>
              <w:widowControl/>
              <w:tabs>
                <w:tab w:val="left" w:pos="841"/>
              </w:tabs>
              <w:wordWrap w:val="0"/>
              <w:snapToGrid w:val="0"/>
              <w:ind w:firstLine="440" w:firstLineChars="200"/>
              <w:jc w:val="right"/>
              <w:textAlignment w:val="center"/>
              <w:rPr>
                <w:kern w:val="0"/>
                <w:sz w:val="22"/>
                <w:szCs w:val="22"/>
              </w:rPr>
            </w:pPr>
          </w:p>
          <w:p>
            <w:pPr>
              <w:widowControl/>
              <w:tabs>
                <w:tab w:val="left" w:pos="841"/>
              </w:tabs>
              <w:wordWrap w:val="0"/>
              <w:snapToGrid w:val="0"/>
              <w:ind w:firstLine="440" w:firstLineChars="200"/>
              <w:jc w:val="center"/>
              <w:textAlignment w:val="center"/>
              <w:rPr>
                <w:kern w:val="0"/>
                <w:sz w:val="22"/>
                <w:szCs w:val="22"/>
              </w:rPr>
            </w:pPr>
            <w:r>
              <w:rPr>
                <w:kern w:val="0"/>
                <w:sz w:val="22"/>
                <w:szCs w:val="22"/>
              </w:rPr>
              <w:t xml:space="preserve">  申请单位盖章： </w:t>
            </w:r>
          </w:p>
          <w:p>
            <w:pPr>
              <w:widowControl/>
              <w:tabs>
                <w:tab w:val="left" w:pos="841"/>
              </w:tabs>
              <w:wordWrap w:val="0"/>
              <w:snapToGrid w:val="0"/>
              <w:textAlignment w:val="center"/>
              <w:rPr>
                <w:kern w:val="0"/>
                <w:sz w:val="22"/>
                <w:szCs w:val="22"/>
              </w:rPr>
            </w:pPr>
          </w:p>
        </w:tc>
      </w:tr>
    </w:tbl>
    <w:p>
      <w:pPr>
        <w:rPr>
          <w:rFonts w:ascii="Times New Roman" w:hAnsi="Times New Roman"/>
          <w:szCs w:val="22"/>
        </w:rPr>
      </w:pPr>
    </w:p>
    <w:p>
      <w:pPr>
        <w:widowControl/>
        <w:outlineLvl w:val="9"/>
        <w:rPr>
          <w:rFonts w:hint="default" w:ascii="Times New Roman" w:hAnsi="Times New Roman" w:eastAsia="黑体" w:cs="Times New Roman"/>
          <w:b w:val="0"/>
          <w:bCs w:val="0"/>
          <w:sz w:val="32"/>
          <w:szCs w:val="32"/>
        </w:rPr>
      </w:pPr>
    </w:p>
    <w:p>
      <w:pPr>
        <w:widowControl/>
        <w:outlineLvl w:val="9"/>
        <w:rPr>
          <w:rFonts w:hint="default" w:ascii="Times New Roman" w:hAnsi="Times New Roman" w:eastAsia="黑体" w:cs="Times New Roman"/>
          <w:b w:val="0"/>
          <w:bCs w:val="0"/>
          <w:sz w:val="32"/>
          <w:szCs w:val="32"/>
        </w:rPr>
      </w:pPr>
    </w:p>
    <w:p>
      <w:pPr>
        <w:widowControl/>
        <w:outlineLvl w:val="9"/>
        <w:rPr>
          <w:rFonts w:hint="default" w:ascii="Times New Roman" w:hAnsi="Times New Roman" w:eastAsia="黑体" w:cs="Times New Roman"/>
          <w:b w:val="0"/>
          <w:bCs w:val="0"/>
          <w:sz w:val="32"/>
          <w:szCs w:val="32"/>
        </w:rPr>
      </w:pPr>
    </w:p>
    <w:p>
      <w:pPr>
        <w:widowControl/>
        <w:outlineLvl w:val="9"/>
        <w:rPr>
          <w:rFonts w:hint="default" w:ascii="Times New Roman" w:hAnsi="Times New Roman" w:eastAsia="黑体" w:cs="Times New Roman"/>
          <w:b w:val="0"/>
          <w:bCs w:val="0"/>
          <w:sz w:val="32"/>
          <w:szCs w:val="32"/>
        </w:rPr>
      </w:pPr>
    </w:p>
    <w:p>
      <w:pPr>
        <w:widowControl/>
        <w:outlineLvl w:val="9"/>
        <w:rPr>
          <w:rFonts w:hint="default" w:ascii="Times New Roman" w:hAnsi="Times New Roman" w:eastAsia="黑体" w:cs="Times New Roman"/>
          <w:b w:val="0"/>
          <w:bCs w:val="0"/>
          <w:sz w:val="32"/>
          <w:szCs w:val="32"/>
        </w:rPr>
      </w:pPr>
    </w:p>
    <w:p>
      <w:pPr>
        <w:widowControl/>
        <w:outlineLvl w:val="9"/>
        <w:rPr>
          <w:rFonts w:hint="default" w:ascii="Times New Roman" w:hAnsi="Times New Roman" w:eastAsia="黑体" w:cs="Times New Roman"/>
          <w:b w:val="0"/>
          <w:bCs w:val="0"/>
          <w:sz w:val="32"/>
          <w:szCs w:val="32"/>
        </w:rPr>
      </w:pPr>
    </w:p>
    <w:p>
      <w:pPr>
        <w:widowControl/>
        <w:outlineLvl w:val="9"/>
        <w:rPr>
          <w:rFonts w:hint="default" w:ascii="Times New Roman" w:hAnsi="Times New Roman" w:eastAsia="黑体" w:cs="Times New Roman"/>
          <w:b w:val="0"/>
          <w:bCs w:val="0"/>
          <w:sz w:val="32"/>
          <w:szCs w:val="32"/>
        </w:rPr>
      </w:pPr>
    </w:p>
    <w:p>
      <w:pPr>
        <w:pStyle w:val="3"/>
        <w:rPr>
          <w:rFonts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附件4：</w:t>
      </w:r>
      <w:bookmarkStart w:id="4" w:name="_Toc31735"/>
      <w:bookmarkStart w:id="5" w:name="_Toc26536"/>
      <w:bookmarkStart w:id="6" w:name="_Toc18003"/>
      <w:bookmarkStart w:id="7" w:name="_Toc21044"/>
    </w:p>
    <w:p>
      <w:pPr>
        <w:pStyle w:val="3"/>
        <w:jc w:val="center"/>
        <w:rPr>
          <w:rFonts w:ascii="Times New Roman" w:hAnsi="Times New Roman" w:eastAsia="方正小标宋简体" w:cs="Times New Roman"/>
          <w:b w:val="0"/>
          <w:sz w:val="36"/>
          <w:szCs w:val="36"/>
        </w:rPr>
      </w:pPr>
      <w:r>
        <w:rPr>
          <w:rFonts w:hint="default" w:ascii="Times New Roman" w:hAnsi="Times New Roman" w:eastAsia="方正小标宋简体" w:cs="Times New Roman"/>
          <w:b w:val="0"/>
          <w:sz w:val="36"/>
          <w:szCs w:val="36"/>
        </w:rPr>
        <w:t>项目申报单位承诺书</w:t>
      </w:r>
      <w:bookmarkEnd w:id="4"/>
      <w:bookmarkEnd w:id="5"/>
      <w:bookmarkEnd w:id="6"/>
      <w:bookmarkEnd w:id="7"/>
    </w:p>
    <w:p>
      <w:pPr>
        <w:spacing w:line="520" w:lineRule="exact"/>
        <w:rPr>
          <w:rFonts w:ascii="Times New Roman" w:hAnsi="Times New Roman" w:eastAsia="仿宋_GB2312" w:cs="Times New Roman"/>
          <w:bCs/>
          <w:sz w:val="32"/>
          <w:szCs w:val="32"/>
        </w:rPr>
      </w:pPr>
      <w:r>
        <w:rPr>
          <w:rFonts w:hint="default" w:ascii="Times New Roman" w:hAnsi="Times New Roman" w:eastAsia="仿宋_GB2312" w:cs="Times New Roman"/>
          <w:bCs/>
          <w:sz w:val="32"/>
          <w:szCs w:val="32"/>
        </w:rPr>
        <w:t>平谷区商务局：</w:t>
      </w:r>
    </w:p>
    <w:p>
      <w:pPr>
        <w:spacing w:line="52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bCs/>
          <w:sz w:val="32"/>
          <w:szCs w:val="32"/>
        </w:rPr>
        <w:t>我单位已认真阅读《</w:t>
      </w:r>
      <w:r>
        <w:rPr>
          <w:rFonts w:hint="default" w:ascii="Times New Roman" w:hAnsi="Times New Roman" w:eastAsia="仿宋_GB2312" w:cs="Times New Roman"/>
          <w:sz w:val="32"/>
          <w:szCs w:val="32"/>
        </w:rPr>
        <w:t>北京市平谷区扩大对外开放提高外资外贸发展水平扶持办法》（以下简称《扶持办法》）及《平谷区商务局关于&lt;北京市平谷区扩大对外开放提高外资外贸发展水平扶持办法&gt;中促进外贸健康发展部分</w:t>
      </w:r>
      <w:r>
        <w:rPr>
          <w:rFonts w:hint="eastAsia" w:eastAsia="仿宋_GB2312" w:cs="Times New Roman"/>
          <w:sz w:val="32"/>
          <w:szCs w:val="32"/>
          <w:lang w:eastAsia="zh-CN"/>
        </w:rPr>
        <w:t>2024</w:t>
      </w:r>
      <w:r>
        <w:rPr>
          <w:rFonts w:hint="default" w:ascii="Times New Roman" w:hAnsi="Times New Roman" w:eastAsia="仿宋_GB2312" w:cs="Times New Roman"/>
          <w:sz w:val="32"/>
          <w:szCs w:val="32"/>
        </w:rPr>
        <w:t>年项目申报指南》（以下简称《申报指南》），并承诺符合《扶持办法》及《申报指南》规定的所</w:t>
      </w:r>
      <w:r>
        <w:rPr>
          <w:rFonts w:hint="default" w:ascii="Times New Roman" w:hAnsi="Times New Roman" w:eastAsia="仿宋_GB2312" w:cs="Times New Roman"/>
          <w:bCs/>
          <w:sz w:val="32"/>
          <w:szCs w:val="32"/>
        </w:rPr>
        <w:t>有申请条件</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不存在不予支持情形。保证</w:t>
      </w:r>
      <w:r>
        <w:rPr>
          <w:rFonts w:hint="eastAsia" w:eastAsia="仿宋_GB2312" w:cs="Times New Roman"/>
          <w:bCs/>
          <w:sz w:val="32"/>
          <w:szCs w:val="32"/>
          <w:u w:val="single"/>
          <w:lang w:eastAsia="zh-CN"/>
        </w:rPr>
        <w:t>2024</w:t>
      </w:r>
      <w:r>
        <w:rPr>
          <w:rFonts w:hint="default" w:ascii="Times New Roman" w:hAnsi="Times New Roman" w:eastAsia="仿宋_GB2312" w:cs="Times New Roman"/>
          <w:bCs/>
          <w:sz w:val="32"/>
          <w:szCs w:val="32"/>
        </w:rPr>
        <w:t>年度</w:t>
      </w:r>
      <w:r>
        <w:rPr>
          <w:rFonts w:hint="default" w:ascii="Times New Roman" w:hAnsi="Times New Roman" w:eastAsia="仿宋_GB2312" w:cs="Times New Roman"/>
          <w:sz w:val="32"/>
          <w:szCs w:val="32"/>
        </w:rPr>
        <w:t>申请资金支持的全部项目资料真实、完整、准确、合法、有效，且项目未</w:t>
      </w:r>
      <w:r>
        <w:rPr>
          <w:rFonts w:hint="default" w:ascii="Times New Roman" w:hAnsi="Times New Roman" w:eastAsia="仿宋_GB2312" w:cs="Times New Roman"/>
          <w:sz w:val="32"/>
          <w:szCs w:val="32"/>
          <w:highlight w:val="none"/>
        </w:rPr>
        <w:t>获得中央及市级、区级其他财政资金</w:t>
      </w:r>
      <w:r>
        <w:rPr>
          <w:rFonts w:hint="default" w:ascii="Times New Roman" w:hAnsi="Times New Roman" w:eastAsia="仿宋_GB2312" w:cs="Times New Roman"/>
          <w:sz w:val="32"/>
          <w:szCs w:val="32"/>
        </w:rPr>
        <w:t>支持。如违反相关规定及上述承诺我单位将自愿承担相应责任。</w:t>
      </w:r>
    </w:p>
    <w:p>
      <w:pPr>
        <w:ind w:firstLine="640" w:firstLineChars="200"/>
        <w:jc w:val="left"/>
        <w:rPr>
          <w:rFonts w:ascii="Times New Roman" w:hAnsi="Times New Roman" w:eastAsia="仿宋_GB2312" w:cs="Times New Roman"/>
          <w:sz w:val="32"/>
          <w:szCs w:val="32"/>
        </w:rPr>
      </w:pPr>
    </w:p>
    <w:p>
      <w:pPr>
        <w:ind w:firstLine="640" w:firstLineChars="200"/>
        <w:jc w:val="left"/>
        <w:rPr>
          <w:rFonts w:ascii="Times New Roman" w:hAnsi="Times New Roman" w:eastAsia="仿宋_GB2312" w:cs="Times New Roman"/>
          <w:bCs/>
          <w:sz w:val="32"/>
          <w:szCs w:val="32"/>
        </w:rPr>
      </w:pPr>
    </w:p>
    <w:p>
      <w:pPr>
        <w:spacing w:line="520" w:lineRule="exact"/>
        <w:rPr>
          <w:rFonts w:ascii="Times New Roman" w:hAnsi="Times New Roman" w:eastAsia="仿宋_GB2312" w:cs="Times New Roman"/>
          <w:bCs/>
          <w:sz w:val="32"/>
          <w:szCs w:val="32"/>
        </w:rPr>
      </w:pPr>
      <w:r>
        <w:rPr>
          <w:rFonts w:hint="default" w:ascii="Times New Roman" w:hAnsi="Times New Roman" w:eastAsia="仿宋_GB2312" w:cs="Times New Roman"/>
          <w:bCs/>
          <w:sz w:val="32"/>
          <w:szCs w:val="32"/>
        </w:rPr>
        <w:t>项目单位法定代表人（签字）：              （单位公章）</w:t>
      </w:r>
    </w:p>
    <w:p>
      <w:pPr>
        <w:spacing w:line="520" w:lineRule="exact"/>
        <w:rPr>
          <w:rFonts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年  月  日</w:t>
      </w:r>
    </w:p>
    <w:p/>
    <w:p>
      <w:pPr>
        <w:spacing w:line="360" w:lineRule="auto"/>
        <w:outlineLvl w:val="0"/>
        <w:rPr>
          <w:rFonts w:hint="default" w:ascii="Times New Roman" w:hAnsi="Times New Roman" w:eastAsia="黑体" w:cs="Times New Roman"/>
          <w:sz w:val="32"/>
          <w:szCs w:val="22"/>
        </w:rPr>
      </w:pPr>
    </w:p>
    <w:p>
      <w:pPr>
        <w:spacing w:line="360" w:lineRule="auto"/>
        <w:outlineLvl w:val="0"/>
        <w:rPr>
          <w:rFonts w:hint="default" w:ascii="Times New Roman" w:hAnsi="Times New Roman" w:eastAsia="黑体" w:cs="Times New Roman"/>
          <w:sz w:val="32"/>
          <w:szCs w:val="22"/>
        </w:rPr>
      </w:pPr>
    </w:p>
    <w:p>
      <w:pPr>
        <w:spacing w:line="360" w:lineRule="auto"/>
        <w:outlineLvl w:val="0"/>
        <w:rPr>
          <w:rFonts w:hint="default" w:ascii="Times New Roman" w:hAnsi="Times New Roman" w:eastAsia="黑体" w:cs="Times New Roman"/>
          <w:sz w:val="32"/>
          <w:szCs w:val="22"/>
        </w:rPr>
      </w:pPr>
    </w:p>
    <w:p>
      <w:pPr>
        <w:spacing w:line="360" w:lineRule="auto"/>
        <w:outlineLvl w:val="0"/>
        <w:rPr>
          <w:rFonts w:hint="default" w:ascii="Times New Roman" w:hAnsi="Times New Roman" w:eastAsia="黑体" w:cs="Times New Roman"/>
          <w:sz w:val="32"/>
          <w:szCs w:val="22"/>
        </w:rPr>
      </w:pPr>
    </w:p>
    <w:p>
      <w:pPr>
        <w:spacing w:line="360" w:lineRule="auto"/>
        <w:outlineLvl w:val="0"/>
        <w:rPr>
          <w:rFonts w:hint="default" w:ascii="Times New Roman" w:hAnsi="Times New Roman" w:eastAsia="黑体" w:cs="Times New Roman"/>
          <w:sz w:val="32"/>
          <w:szCs w:val="22"/>
        </w:rPr>
      </w:pPr>
    </w:p>
    <w:p>
      <w:pPr>
        <w:spacing w:line="360" w:lineRule="auto"/>
        <w:outlineLvl w:val="0"/>
        <w:rPr>
          <w:rFonts w:eastAsia="黑体"/>
          <w:sz w:val="32"/>
          <w:szCs w:val="22"/>
        </w:rPr>
      </w:pPr>
      <w:r>
        <w:rPr>
          <w:rFonts w:hint="default" w:ascii="Times New Roman" w:hAnsi="Times New Roman" w:eastAsia="黑体" w:cs="Times New Roman"/>
          <w:sz w:val="32"/>
          <w:szCs w:val="22"/>
        </w:rPr>
        <w:t xml:space="preserve">附件5  </w:t>
      </w:r>
      <w:r>
        <w:rPr>
          <w:rFonts w:eastAsia="黑体"/>
          <w:sz w:val="32"/>
          <w:szCs w:val="22"/>
        </w:rPr>
        <w:t xml:space="preserve"> </w:t>
      </w:r>
    </w:p>
    <w:p>
      <w:pPr>
        <w:spacing w:line="700" w:lineRule="exact"/>
        <w:jc w:val="center"/>
        <w:outlineLvl w:val="0"/>
        <w:rPr>
          <w:b/>
          <w:bCs/>
          <w:color w:val="000000"/>
          <w:sz w:val="36"/>
          <w:szCs w:val="36"/>
        </w:rPr>
      </w:pPr>
      <w:r>
        <w:rPr>
          <w:b/>
          <w:bCs/>
          <w:color w:val="000000"/>
          <w:sz w:val="36"/>
          <w:szCs w:val="36"/>
        </w:rPr>
        <w:t>法定代表人授权委托书</w:t>
      </w:r>
    </w:p>
    <w:p>
      <w:pPr>
        <w:ind w:firstLine="480"/>
        <w:jc w:val="center"/>
        <w:rPr>
          <w:color w:val="000000"/>
          <w:sz w:val="24"/>
          <w:szCs w:val="24"/>
        </w:rPr>
      </w:pPr>
      <w:r>
        <w:rPr>
          <w:color w:val="000000"/>
          <w:sz w:val="24"/>
          <w:szCs w:val="24"/>
        </w:rPr>
        <w:t xml:space="preserve">  </w:t>
      </w:r>
    </w:p>
    <w:p>
      <w:pPr>
        <w:rPr>
          <w:rFonts w:ascii="Times New Roman" w:hAnsi="Times New Roman" w:eastAsia="仿宋_GB2312" w:cs="Times New Roman"/>
          <w:color w:val="000000"/>
          <w:sz w:val="32"/>
          <w:szCs w:val="32"/>
        </w:rPr>
      </w:pPr>
    </w:p>
    <w:p>
      <w:pPr>
        <w:rPr>
          <w:rFonts w:ascii="Times New Roman" w:hAnsi="Times New Roman" w:eastAsia="仿宋_GB2312" w:cs="Times New Roman"/>
          <w:color w:val="000000"/>
          <w:sz w:val="32"/>
          <w:szCs w:val="32"/>
          <w:u w:val="single"/>
        </w:rPr>
      </w:pPr>
      <w:r>
        <w:rPr>
          <w:rFonts w:hint="default" w:ascii="Times New Roman" w:hAnsi="Times New Roman" w:eastAsia="仿宋_GB2312" w:cs="Times New Roman"/>
          <w:color w:val="000000"/>
          <w:sz w:val="32"/>
          <w:szCs w:val="32"/>
        </w:rPr>
        <w:t>致：平谷区商务局</w:t>
      </w:r>
    </w:p>
    <w:p>
      <w:pPr>
        <w:spacing w:line="600" w:lineRule="exact"/>
        <w:ind w:firstLine="480"/>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本授权书宣告：</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（申请单位）的</w:t>
      </w:r>
      <w:r>
        <w:rPr>
          <w:rFonts w:hint="eastAsia" w:eastAsia="仿宋_GB2312" w:cs="Times New Roman"/>
          <w:color w:val="000000"/>
          <w:sz w:val="32"/>
          <w:szCs w:val="32"/>
          <w:lang w:val="en-US" w:eastAsia="zh-CN"/>
        </w:rPr>
        <w:t>_</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（职务）</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 xml:space="preserve"> （姓名）合法地代表我单位</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授权</w:t>
      </w:r>
      <w:r>
        <w:rPr>
          <w:rFonts w:hint="eastAsia" w:eastAsia="仿宋_GB2312" w:cs="Times New Roman"/>
          <w:color w:val="000000"/>
          <w:sz w:val="32"/>
          <w:szCs w:val="32"/>
          <w:lang w:val="en-US" w:eastAsia="zh-CN"/>
        </w:rPr>
        <w:t>______________（单位名称）</w:t>
      </w:r>
      <w:r>
        <w:rPr>
          <w:rFonts w:hint="default" w:ascii="Times New Roman" w:hAnsi="Times New Roman" w:eastAsia="仿宋_GB2312" w:cs="Times New Roman"/>
          <w:color w:val="000000"/>
          <w:sz w:val="32"/>
          <w:szCs w:val="32"/>
        </w:rPr>
        <w:t>的</w:t>
      </w:r>
      <w:r>
        <w:rPr>
          <w:rFonts w:hint="default" w:ascii="Times New Roman" w:hAnsi="Times New Roman" w:eastAsia="仿宋_GB2312" w:cs="Times New Roman"/>
          <w:color w:val="000000"/>
          <w:sz w:val="32"/>
          <w:szCs w:val="32"/>
          <w:u w:val="single"/>
        </w:rPr>
        <w:t xml:space="preserve">          </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职务</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u w:val="single"/>
        </w:rPr>
        <w:t xml:space="preserve">       </w:t>
      </w:r>
      <w:r>
        <w:rPr>
          <w:rFonts w:hint="eastAsia" w:eastAsia="仿宋_GB2312" w:cs="Times New Roman"/>
          <w:color w:val="000000"/>
          <w:sz w:val="32"/>
          <w:szCs w:val="32"/>
          <w:lang w:val="en-US" w:eastAsia="zh-CN"/>
        </w:rPr>
        <w:t>姓名</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为我单位代理人，该代理人有权在平谷区外贸政策申报中，以我单位的名义签署政策申报文件以及执行一切与此有关的事项。</w:t>
      </w:r>
    </w:p>
    <w:p>
      <w:pPr>
        <w:ind w:firstLine="480"/>
        <w:rPr>
          <w:rFonts w:ascii="Times New Roman" w:hAnsi="Times New Roman" w:eastAsia="仿宋_GB2312" w:cs="Times New Roman"/>
          <w:color w:val="000000"/>
          <w:sz w:val="32"/>
          <w:szCs w:val="32"/>
        </w:rPr>
      </w:pPr>
    </w:p>
    <w:p>
      <w:pPr>
        <w:spacing w:after="120"/>
        <w:rPr>
          <w:rFonts w:ascii="Times New Roman" w:hAnsi="Times New Roman" w:eastAsia="仿宋_GB2312" w:cs="Times New Roman"/>
          <w:sz w:val="32"/>
          <w:szCs w:val="32"/>
        </w:rPr>
      </w:pPr>
    </w:p>
    <w:p>
      <w:pPr>
        <w:spacing w:line="1000" w:lineRule="exact"/>
        <w:ind w:firstLine="480"/>
        <w:rPr>
          <w:rFonts w:ascii="Times New Roman" w:hAnsi="Times New Roman" w:eastAsia="仿宋_GB2312" w:cs="Times New Roman"/>
          <w:color w:val="000000"/>
          <w:sz w:val="32"/>
          <w:szCs w:val="32"/>
          <w:u w:val="single"/>
        </w:rPr>
      </w:pPr>
      <w:r>
        <w:rPr>
          <w:rFonts w:hint="default" w:ascii="Times New Roman" w:hAnsi="Times New Roman" w:eastAsia="仿宋_GB2312" w:cs="Times New Roman"/>
          <w:color w:val="000000"/>
          <w:sz w:val="32"/>
          <w:szCs w:val="32"/>
        </w:rPr>
        <w:t>申请单位：</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（盖章)</w:t>
      </w:r>
    </w:p>
    <w:p>
      <w:pPr>
        <w:spacing w:line="1000" w:lineRule="exact"/>
        <w:ind w:firstLine="480"/>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法定代表人：</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 xml:space="preserve"> （签字或盖章）</w:t>
      </w:r>
    </w:p>
    <w:p>
      <w:pPr>
        <w:spacing w:line="1000" w:lineRule="exact"/>
        <w:ind w:firstLine="480"/>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被授权的代理人：</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 xml:space="preserve"> （签字）          </w:t>
      </w:r>
    </w:p>
    <w:p>
      <w:pPr>
        <w:spacing w:line="620" w:lineRule="exact"/>
        <w:ind w:firstLine="480"/>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日    期：</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日</w:t>
      </w:r>
    </w:p>
    <w:p>
      <w:pPr>
        <w:spacing w:after="120"/>
        <w:rPr>
          <w:szCs w:val="24"/>
        </w:rPr>
      </w:pPr>
    </w:p>
    <w:p>
      <w:pPr>
        <w:wordWrap w:val="0"/>
        <w:spacing w:line="360" w:lineRule="auto"/>
        <w:ind w:right="560"/>
        <w:jc w:val="right"/>
        <w:rPr>
          <w:sz w:val="28"/>
          <w:szCs w:val="28"/>
        </w:rPr>
      </w:pPr>
    </w:p>
    <w:p>
      <w:pPr>
        <w:spacing w:after="80"/>
        <w:jc w:val="both"/>
        <w:rPr>
          <w:rFonts w:hint="default" w:ascii="Times New Roman" w:hAnsi="Times New Roman" w:eastAsia="黑体" w:cs="Times New Roman"/>
          <w:b w:val="0"/>
          <w:sz w:val="32"/>
          <w:szCs w:val="32"/>
        </w:rPr>
      </w:pPr>
      <w:r>
        <w:rPr>
          <w:rFonts w:hint="default" w:ascii="Times New Roman" w:hAnsi="Times New Roman" w:eastAsia="黑体" w:cs="Times New Roman"/>
          <w:b w:val="0"/>
          <w:sz w:val="32"/>
          <w:szCs w:val="32"/>
        </w:rPr>
        <w:t>附件6：</w:t>
      </w:r>
    </w:p>
    <w:p>
      <w:pPr>
        <w:spacing w:after="8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展会项目相关材料清单(一个展会填一张)</w:t>
      </w:r>
    </w:p>
    <w:p>
      <w:pPr>
        <w:spacing w:after="80"/>
        <w:jc w:val="center"/>
        <w:rPr>
          <w:rFonts w:hint="eastAsia"/>
          <w:sz w:val="24"/>
        </w:rPr>
      </w:pPr>
      <w:r>
        <w:rPr>
          <w:rFonts w:hint="eastAsia"/>
          <w:sz w:val="24"/>
        </w:rPr>
        <w:t>填写</w:t>
      </w:r>
      <w:r>
        <w:rPr>
          <w:rFonts w:hint="eastAsia"/>
          <w:sz w:val="24"/>
          <w:lang w:eastAsia="zh-CN"/>
        </w:rPr>
        <w:t>下列内容</w:t>
      </w:r>
      <w:r>
        <w:rPr>
          <w:rFonts w:hint="eastAsia"/>
          <w:sz w:val="24"/>
        </w:rPr>
        <w:t>并用重点标记笔在材料中注明</w:t>
      </w:r>
    </w:p>
    <w:p>
      <w:pPr>
        <w:spacing w:after="80"/>
        <w:jc w:val="both"/>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after="80" w:line="5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展会名称:</w:t>
      </w:r>
    </w:p>
    <w:p>
      <w:pPr>
        <w:keepNext w:val="0"/>
        <w:keepLines w:val="0"/>
        <w:pageBreakBefore w:val="0"/>
        <w:widowControl/>
        <w:kinsoku/>
        <w:wordWrap/>
        <w:overflowPunct/>
        <w:topLinePunct w:val="0"/>
        <w:autoSpaceDE/>
        <w:autoSpaceDN/>
        <w:bidi w:val="0"/>
        <w:adjustRightInd/>
        <w:snapToGrid/>
        <w:spacing w:after="80" w:line="5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展会时间:</w:t>
      </w:r>
    </w:p>
    <w:p>
      <w:pPr>
        <w:keepNext w:val="0"/>
        <w:keepLines w:val="0"/>
        <w:pageBreakBefore w:val="0"/>
        <w:widowControl/>
        <w:kinsoku/>
        <w:wordWrap/>
        <w:overflowPunct/>
        <w:topLinePunct w:val="0"/>
        <w:autoSpaceDE/>
        <w:autoSpaceDN/>
        <w:bidi w:val="0"/>
        <w:adjustRightInd/>
        <w:snapToGrid/>
        <w:spacing w:after="80" w:line="5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参展地点</w:t>
      </w:r>
      <w:r>
        <w:rPr>
          <w:rFonts w:hint="eastAsia" w:ascii="仿宋_GB2312" w:hAnsi="仿宋_GB2312" w:eastAsia="仿宋_GB2312" w:cs="仿宋_GB2312"/>
          <w:sz w:val="32"/>
          <w:szCs w:val="32"/>
          <w:lang w:eastAsia="zh-CN"/>
        </w:rPr>
        <w:t>（境内）</w:t>
      </w:r>
      <w:r>
        <w:rPr>
          <w:rFonts w:hint="eastAsia" w:ascii="仿宋_GB2312" w:hAnsi="仿宋_GB2312" w:eastAsia="仿宋_GB2312" w:cs="仿宋_GB2312"/>
          <w:sz w:val="32"/>
          <w:szCs w:val="32"/>
        </w:rPr>
        <w:t>或国别</w:t>
      </w:r>
      <w:r>
        <w:rPr>
          <w:rFonts w:hint="eastAsia" w:ascii="仿宋_GB2312" w:hAnsi="仿宋_GB2312" w:eastAsia="仿宋_GB2312" w:cs="仿宋_GB2312"/>
          <w:sz w:val="32"/>
          <w:szCs w:val="32"/>
          <w:lang w:eastAsia="zh-CN"/>
        </w:rPr>
        <w:t>（境外）</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after="80" w:line="5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展位面积:</w:t>
      </w:r>
    </w:p>
    <w:p>
      <w:pPr>
        <w:keepNext w:val="0"/>
        <w:keepLines w:val="0"/>
        <w:pageBreakBefore w:val="0"/>
        <w:widowControl/>
        <w:kinsoku/>
        <w:wordWrap/>
        <w:overflowPunct/>
        <w:topLinePunct w:val="0"/>
        <w:autoSpaceDE/>
        <w:autoSpaceDN/>
        <w:bidi w:val="0"/>
        <w:adjustRightInd/>
        <w:snapToGrid/>
        <w:spacing w:after="80" w:line="5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支持金额计算明细:</w:t>
      </w:r>
    </w:p>
    <w:p>
      <w:pPr>
        <w:keepNext w:val="0"/>
        <w:keepLines w:val="0"/>
        <w:pageBreakBefore w:val="0"/>
        <w:widowControl/>
        <w:kinsoku/>
        <w:wordWrap/>
        <w:overflowPunct/>
        <w:topLinePunct w:val="0"/>
        <w:autoSpaceDE/>
        <w:autoSpaceDN/>
        <w:bidi w:val="0"/>
        <w:adjustRightInd/>
        <w:snapToGrid/>
        <w:spacing w:after="80" w:line="5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参展人员姓名:</w:t>
      </w:r>
    </w:p>
    <w:p>
      <w:pPr>
        <w:keepNext w:val="0"/>
        <w:keepLines w:val="0"/>
        <w:pageBreakBefore w:val="0"/>
        <w:widowControl/>
        <w:kinsoku/>
        <w:wordWrap/>
        <w:overflowPunct/>
        <w:topLinePunct w:val="0"/>
        <w:autoSpaceDE/>
        <w:autoSpaceDN/>
        <w:bidi w:val="0"/>
        <w:adjustRightInd/>
        <w:snapToGrid/>
        <w:spacing w:after="80" w:line="54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7.境内展会请填写：</w:t>
      </w:r>
    </w:p>
    <w:p>
      <w:pPr>
        <w:keepNext w:val="0"/>
        <w:keepLines w:val="0"/>
        <w:pageBreakBefore w:val="0"/>
        <w:widowControl/>
        <w:kinsoku/>
        <w:wordWrap/>
        <w:overflowPunct/>
        <w:topLinePunct w:val="0"/>
        <w:autoSpaceDE/>
        <w:autoSpaceDN/>
        <w:bidi w:val="0"/>
        <w:adjustRightInd/>
        <w:snapToGrid/>
        <w:spacing w:after="80" w:line="54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出发时间：                     返回时间：</w:t>
      </w:r>
    </w:p>
    <w:p>
      <w:pPr>
        <w:keepNext w:val="0"/>
        <w:keepLines w:val="0"/>
        <w:pageBreakBefore w:val="0"/>
        <w:widowControl/>
        <w:numPr>
          <w:ilvl w:val="0"/>
          <w:numId w:val="0"/>
        </w:numPr>
        <w:kinsoku/>
        <w:wordWrap/>
        <w:overflowPunct/>
        <w:topLinePunct w:val="0"/>
        <w:autoSpaceDE/>
        <w:autoSpaceDN/>
        <w:bidi w:val="0"/>
        <w:adjustRightInd/>
        <w:snapToGrid/>
        <w:spacing w:after="80" w:line="54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8.境外展会请填写：</w:t>
      </w:r>
    </w:p>
    <w:p>
      <w:pPr>
        <w:keepNext w:val="0"/>
        <w:keepLines w:val="0"/>
        <w:pageBreakBefore w:val="0"/>
        <w:widowControl/>
        <w:numPr>
          <w:ilvl w:val="0"/>
          <w:numId w:val="0"/>
        </w:numPr>
        <w:kinsoku/>
        <w:wordWrap/>
        <w:overflowPunct/>
        <w:topLinePunct w:val="0"/>
        <w:autoSpaceDE/>
        <w:autoSpaceDN/>
        <w:bidi w:val="0"/>
        <w:adjustRightInd/>
        <w:snapToGrid/>
        <w:spacing w:after="80" w:line="5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出境时间（中国):                    入境时间:</w:t>
      </w:r>
    </w:p>
    <w:p>
      <w:pPr>
        <w:keepNext w:val="0"/>
        <w:keepLines w:val="0"/>
        <w:pageBreakBefore w:val="0"/>
        <w:widowControl/>
        <w:kinsoku/>
        <w:wordWrap/>
        <w:overflowPunct/>
        <w:topLinePunct w:val="0"/>
        <w:autoSpaceDE/>
        <w:autoSpaceDN/>
        <w:bidi w:val="0"/>
        <w:adjustRightInd/>
        <w:snapToGrid/>
        <w:spacing w:after="80" w:line="5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出境时间(参展国):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入境时间:</w:t>
      </w:r>
    </w:p>
    <w:p>
      <w:pPr>
        <w:pStyle w:val="3"/>
        <w:rPr>
          <w:rFonts w:hint="default" w:ascii="Times New Roman" w:hAnsi="Times New Roman" w:eastAsia="黑体" w:cs="Times New Roman"/>
          <w:b w:val="0"/>
          <w:sz w:val="32"/>
          <w:szCs w:val="32"/>
        </w:rPr>
      </w:pPr>
    </w:p>
    <w:p>
      <w:pPr>
        <w:pStyle w:val="3"/>
        <w:rPr>
          <w:rFonts w:hint="default" w:ascii="Times New Roman" w:hAnsi="Times New Roman" w:eastAsia="黑体" w:cs="Times New Roman"/>
          <w:b w:val="0"/>
          <w:sz w:val="32"/>
          <w:szCs w:val="32"/>
        </w:rPr>
      </w:pPr>
    </w:p>
    <w:p>
      <w:pPr>
        <w:pStyle w:val="3"/>
        <w:rPr>
          <w:rFonts w:hint="default" w:ascii="Times New Roman" w:hAnsi="Times New Roman" w:eastAsia="黑体" w:cs="Times New Roman"/>
          <w:b w:val="0"/>
          <w:sz w:val="32"/>
          <w:szCs w:val="32"/>
        </w:rPr>
      </w:pPr>
    </w:p>
    <w:p>
      <w:pPr>
        <w:pStyle w:val="3"/>
        <w:rPr>
          <w:rFonts w:ascii="Times New Roman" w:hAnsi="Times New Roman" w:eastAsia="黑体" w:cs="Times New Roman"/>
          <w:b w:val="0"/>
          <w:sz w:val="32"/>
          <w:szCs w:val="32"/>
        </w:rPr>
      </w:pPr>
      <w:r>
        <w:rPr>
          <w:rFonts w:hint="default" w:ascii="Times New Roman" w:hAnsi="Times New Roman" w:eastAsia="黑体" w:cs="Times New Roman"/>
          <w:b w:val="0"/>
          <w:sz w:val="32"/>
          <w:szCs w:val="32"/>
        </w:rPr>
        <w:t>附件</w:t>
      </w:r>
      <w:r>
        <w:rPr>
          <w:rFonts w:hint="eastAsia" w:ascii="Times New Roman" w:hAnsi="Times New Roman" w:eastAsia="黑体" w:cs="Times New Roman"/>
          <w:b w:val="0"/>
          <w:sz w:val="32"/>
          <w:szCs w:val="32"/>
          <w:lang w:val="en-US" w:eastAsia="zh-CN"/>
        </w:rPr>
        <w:t>7</w:t>
      </w:r>
      <w:r>
        <w:rPr>
          <w:rFonts w:hint="default" w:ascii="Times New Roman" w:hAnsi="Times New Roman" w:eastAsia="黑体" w:cs="Times New Roman"/>
          <w:b w:val="0"/>
          <w:sz w:val="32"/>
          <w:szCs w:val="32"/>
        </w:rPr>
        <w:t>：</w:t>
      </w:r>
    </w:p>
    <w:p/>
    <w:p>
      <w:pPr>
        <w:pStyle w:val="3"/>
        <w:jc w:val="center"/>
        <w:rPr>
          <w:rFonts w:ascii="Times New Roman" w:hAnsi="Times New Roman" w:eastAsia="黑体" w:cs="Times New Roman"/>
          <w:b w:val="0"/>
          <w:sz w:val="32"/>
          <w:szCs w:val="32"/>
        </w:rPr>
      </w:pPr>
      <w:r>
        <w:rPr>
          <w:rFonts w:hint="default" w:ascii="Times New Roman" w:hAnsi="Times New Roman" w:eastAsia="黑体" w:cs="Times New Roman"/>
          <w:b w:val="0"/>
          <w:sz w:val="32"/>
          <w:szCs w:val="32"/>
        </w:rPr>
        <w:t>各国家（地区）临时出访补助标准（每人每天）</w:t>
      </w:r>
    </w:p>
    <w:tbl>
      <w:tblPr>
        <w:tblStyle w:val="11"/>
        <w:tblW w:w="7780" w:type="dxa"/>
        <w:jc w:val="center"/>
        <w:tblLayout w:type="fixed"/>
        <w:tblCellMar>
          <w:top w:w="0" w:type="dxa"/>
          <w:left w:w="108" w:type="dxa"/>
          <w:bottom w:w="0" w:type="dxa"/>
          <w:right w:w="108" w:type="dxa"/>
        </w:tblCellMar>
      </w:tblPr>
      <w:tblGrid>
        <w:gridCol w:w="1080"/>
        <w:gridCol w:w="2560"/>
        <w:gridCol w:w="1560"/>
        <w:gridCol w:w="700"/>
        <w:gridCol w:w="940"/>
        <w:gridCol w:w="940"/>
      </w:tblGrid>
      <w:tr>
        <w:tblPrEx>
          <w:tblCellMar>
            <w:top w:w="0" w:type="dxa"/>
            <w:left w:w="108" w:type="dxa"/>
            <w:bottom w:w="0" w:type="dxa"/>
            <w:right w:w="108" w:type="dxa"/>
          </w:tblCellMar>
        </w:tblPrEx>
        <w:trPr>
          <w:trHeight w:val="270" w:hRule="atLeast"/>
          <w:jc w:val="center"/>
        </w:trPr>
        <w:tc>
          <w:tcPr>
            <w:tcW w:w="1080" w:type="dxa"/>
            <w:tcBorders>
              <w:top w:val="single" w:color="auto" w:sz="4" w:space="0"/>
              <w:left w:val="single" w:color="auto" w:sz="4" w:space="0"/>
              <w:bottom w:val="single" w:color="auto" w:sz="4" w:space="0"/>
              <w:right w:val="single" w:color="auto" w:sz="4" w:space="0"/>
            </w:tcBorders>
            <w:shd w:val="clear" w:color="000000" w:fill="A5A5A5"/>
            <w:vAlign w:val="center"/>
          </w:tcPr>
          <w:p>
            <w:pPr>
              <w:widowControl/>
              <w:jc w:val="center"/>
              <w:rPr>
                <w:rFonts w:ascii="Times New Roman" w:hAnsi="Times New Roman" w:eastAsia="仿宋_GB2312" w:cs="Times New Roman"/>
                <w:b/>
                <w:bCs/>
                <w:color w:val="FFFFFF"/>
                <w:kern w:val="0"/>
                <w:sz w:val="22"/>
              </w:rPr>
            </w:pPr>
            <w:r>
              <w:rPr>
                <w:rFonts w:hint="default" w:ascii="Times New Roman" w:hAnsi="Times New Roman" w:eastAsia="仿宋_GB2312" w:cs="Times New Roman"/>
                <w:b/>
                <w:bCs/>
                <w:color w:val="FFFFFF"/>
                <w:kern w:val="0"/>
                <w:sz w:val="22"/>
              </w:rPr>
              <w:t>序号</w:t>
            </w:r>
          </w:p>
        </w:tc>
        <w:tc>
          <w:tcPr>
            <w:tcW w:w="2560" w:type="dxa"/>
            <w:tcBorders>
              <w:top w:val="single" w:color="auto" w:sz="4" w:space="0"/>
              <w:left w:val="nil"/>
              <w:bottom w:val="single" w:color="auto" w:sz="4" w:space="0"/>
              <w:right w:val="single" w:color="auto" w:sz="4" w:space="0"/>
            </w:tcBorders>
            <w:shd w:val="clear" w:color="000000" w:fill="A5A5A5"/>
            <w:vAlign w:val="center"/>
          </w:tcPr>
          <w:p>
            <w:pPr>
              <w:widowControl/>
              <w:jc w:val="center"/>
              <w:rPr>
                <w:rFonts w:ascii="Times New Roman" w:hAnsi="Times New Roman" w:eastAsia="仿宋_GB2312" w:cs="Times New Roman"/>
                <w:b/>
                <w:bCs/>
                <w:color w:val="FFFFFF"/>
                <w:kern w:val="0"/>
                <w:sz w:val="22"/>
              </w:rPr>
            </w:pPr>
            <w:r>
              <w:rPr>
                <w:rFonts w:hint="default" w:ascii="Times New Roman" w:hAnsi="Times New Roman" w:eastAsia="仿宋_GB2312" w:cs="Times New Roman"/>
                <w:b/>
                <w:bCs/>
                <w:color w:val="FFFFFF"/>
                <w:kern w:val="0"/>
                <w:sz w:val="22"/>
              </w:rPr>
              <w:t>国家（地区）</w:t>
            </w:r>
          </w:p>
        </w:tc>
        <w:tc>
          <w:tcPr>
            <w:tcW w:w="1560" w:type="dxa"/>
            <w:tcBorders>
              <w:top w:val="single" w:color="auto" w:sz="4" w:space="0"/>
              <w:left w:val="nil"/>
              <w:bottom w:val="single" w:color="auto" w:sz="4" w:space="0"/>
              <w:right w:val="single" w:color="auto" w:sz="4" w:space="0"/>
            </w:tcBorders>
            <w:shd w:val="clear" w:color="000000" w:fill="A5A5A5"/>
            <w:vAlign w:val="center"/>
          </w:tcPr>
          <w:p>
            <w:pPr>
              <w:widowControl/>
              <w:jc w:val="center"/>
              <w:rPr>
                <w:rFonts w:ascii="Times New Roman" w:hAnsi="Times New Roman" w:eastAsia="仿宋_GB2312" w:cs="Times New Roman"/>
                <w:b/>
                <w:bCs/>
                <w:color w:val="FFFFFF"/>
                <w:kern w:val="0"/>
                <w:sz w:val="22"/>
              </w:rPr>
            </w:pPr>
            <w:r>
              <w:rPr>
                <w:rFonts w:hint="default" w:ascii="Times New Roman" w:hAnsi="Times New Roman" w:eastAsia="仿宋_GB2312" w:cs="Times New Roman"/>
                <w:b/>
                <w:bCs/>
                <w:color w:val="FFFFFF"/>
                <w:kern w:val="0"/>
                <w:sz w:val="22"/>
              </w:rPr>
              <w:t>城市</w:t>
            </w:r>
          </w:p>
        </w:tc>
        <w:tc>
          <w:tcPr>
            <w:tcW w:w="700" w:type="dxa"/>
            <w:tcBorders>
              <w:top w:val="single" w:color="auto" w:sz="4" w:space="0"/>
              <w:left w:val="nil"/>
              <w:bottom w:val="single" w:color="auto" w:sz="4" w:space="0"/>
              <w:right w:val="single" w:color="auto" w:sz="4" w:space="0"/>
            </w:tcBorders>
            <w:shd w:val="clear" w:color="000000" w:fill="A5A5A5"/>
            <w:vAlign w:val="center"/>
          </w:tcPr>
          <w:p>
            <w:pPr>
              <w:widowControl/>
              <w:jc w:val="center"/>
              <w:rPr>
                <w:rFonts w:ascii="Times New Roman" w:hAnsi="Times New Roman" w:eastAsia="仿宋_GB2312" w:cs="Times New Roman"/>
                <w:b/>
                <w:bCs/>
                <w:color w:val="FFFFFF"/>
                <w:kern w:val="0"/>
                <w:sz w:val="22"/>
              </w:rPr>
            </w:pPr>
            <w:r>
              <w:rPr>
                <w:rFonts w:hint="default" w:ascii="Times New Roman" w:hAnsi="Times New Roman" w:eastAsia="仿宋_GB2312" w:cs="Times New Roman"/>
                <w:b/>
                <w:bCs/>
                <w:color w:val="FFFFFF"/>
                <w:kern w:val="0"/>
                <w:sz w:val="22"/>
              </w:rPr>
              <w:t>币种</w:t>
            </w:r>
          </w:p>
        </w:tc>
        <w:tc>
          <w:tcPr>
            <w:tcW w:w="940" w:type="dxa"/>
            <w:tcBorders>
              <w:top w:val="single" w:color="auto" w:sz="4" w:space="0"/>
              <w:left w:val="nil"/>
              <w:bottom w:val="single" w:color="auto" w:sz="4" w:space="0"/>
              <w:right w:val="single" w:color="auto" w:sz="4" w:space="0"/>
            </w:tcBorders>
            <w:shd w:val="clear" w:color="000000" w:fill="A5A5A5"/>
            <w:vAlign w:val="center"/>
          </w:tcPr>
          <w:p>
            <w:pPr>
              <w:widowControl/>
              <w:jc w:val="center"/>
              <w:rPr>
                <w:rFonts w:ascii="Times New Roman" w:hAnsi="Times New Roman" w:eastAsia="仿宋_GB2312" w:cs="Times New Roman"/>
                <w:b/>
                <w:bCs/>
                <w:color w:val="FFFFFF"/>
                <w:kern w:val="0"/>
                <w:sz w:val="22"/>
              </w:rPr>
            </w:pPr>
            <w:r>
              <w:rPr>
                <w:rFonts w:hint="default" w:ascii="Times New Roman" w:hAnsi="Times New Roman" w:eastAsia="仿宋_GB2312" w:cs="Times New Roman"/>
                <w:b/>
                <w:bCs/>
                <w:color w:val="FFFFFF"/>
                <w:kern w:val="0"/>
                <w:sz w:val="22"/>
              </w:rPr>
              <w:t>住宿费</w:t>
            </w:r>
          </w:p>
        </w:tc>
        <w:tc>
          <w:tcPr>
            <w:tcW w:w="940" w:type="dxa"/>
            <w:tcBorders>
              <w:top w:val="single" w:color="auto" w:sz="4" w:space="0"/>
              <w:left w:val="nil"/>
              <w:bottom w:val="single" w:color="auto" w:sz="4" w:space="0"/>
              <w:right w:val="single" w:color="auto" w:sz="4" w:space="0"/>
            </w:tcBorders>
            <w:shd w:val="clear" w:color="000000" w:fill="A5A5A5"/>
            <w:vAlign w:val="center"/>
          </w:tcPr>
          <w:p>
            <w:pPr>
              <w:widowControl/>
              <w:jc w:val="center"/>
              <w:rPr>
                <w:rFonts w:ascii="Times New Roman" w:hAnsi="Times New Roman" w:eastAsia="仿宋_GB2312" w:cs="Times New Roman"/>
                <w:b/>
                <w:bCs/>
                <w:color w:val="FFFFFF"/>
                <w:kern w:val="0"/>
                <w:sz w:val="22"/>
              </w:rPr>
            </w:pPr>
            <w:r>
              <w:rPr>
                <w:rFonts w:hint="default" w:ascii="Times New Roman" w:hAnsi="Times New Roman" w:eastAsia="仿宋_GB2312" w:cs="Times New Roman"/>
                <w:b/>
                <w:bCs/>
                <w:color w:val="FFFFFF"/>
                <w:kern w:val="0"/>
                <w:sz w:val="22"/>
              </w:rPr>
              <w:t>伙食费</w:t>
            </w:r>
          </w:p>
        </w:tc>
      </w:tr>
      <w:tr>
        <w:tblPrEx>
          <w:tblCellMar>
            <w:top w:w="0" w:type="dxa"/>
            <w:left w:w="108" w:type="dxa"/>
            <w:bottom w:w="0" w:type="dxa"/>
            <w:right w:w="108" w:type="dxa"/>
          </w:tblCellMar>
        </w:tblPrEx>
        <w:trPr>
          <w:trHeight w:val="375" w:hRule="atLeast"/>
          <w:jc w:val="center"/>
        </w:trPr>
        <w:tc>
          <w:tcPr>
            <w:tcW w:w="1080" w:type="dxa"/>
            <w:tcBorders>
              <w:top w:val="nil"/>
              <w:left w:val="single" w:color="7F7F7F" w:sz="4" w:space="0"/>
              <w:bottom w:val="single" w:color="7F7F7F" w:sz="4" w:space="0"/>
              <w:right w:val="single" w:color="7F7F7F" w:sz="4" w:space="0"/>
            </w:tcBorders>
            <w:shd w:val="clear" w:color="000000" w:fill="F2F2F2"/>
            <w:vAlign w:val="center"/>
          </w:tcPr>
          <w:p>
            <w:pPr>
              <w:widowControl/>
              <w:jc w:val="center"/>
              <w:rPr>
                <w:rFonts w:ascii="Times New Roman" w:hAnsi="Times New Roman" w:eastAsia="仿宋_GB2312" w:cs="Times New Roman"/>
                <w:b/>
                <w:bCs/>
                <w:color w:val="FA7D00"/>
                <w:kern w:val="0"/>
                <w:sz w:val="22"/>
              </w:rPr>
            </w:pPr>
            <w:r>
              <w:rPr>
                <w:rFonts w:hint="default" w:ascii="Times New Roman" w:hAnsi="Times New Roman" w:eastAsia="仿宋_GB2312" w:cs="Times New Roman"/>
                <w:b/>
                <w:bCs/>
                <w:color w:val="FA7D00"/>
                <w:kern w:val="0"/>
                <w:sz w:val="22"/>
              </w:rPr>
              <w:t>一</w:t>
            </w:r>
          </w:p>
        </w:tc>
        <w:tc>
          <w:tcPr>
            <w:tcW w:w="2560" w:type="dxa"/>
            <w:tcBorders>
              <w:top w:val="nil"/>
              <w:left w:val="nil"/>
              <w:bottom w:val="single" w:color="7F7F7F" w:sz="4" w:space="0"/>
              <w:right w:val="single" w:color="7F7F7F" w:sz="4" w:space="0"/>
            </w:tcBorders>
            <w:shd w:val="clear" w:color="000000" w:fill="F2F2F2"/>
            <w:vAlign w:val="center"/>
          </w:tcPr>
          <w:p>
            <w:pPr>
              <w:widowControl/>
              <w:jc w:val="center"/>
              <w:rPr>
                <w:rFonts w:ascii="Times New Roman" w:hAnsi="Times New Roman" w:eastAsia="仿宋_GB2312" w:cs="Times New Roman"/>
                <w:b/>
                <w:bCs/>
                <w:color w:val="FA7D00"/>
                <w:kern w:val="0"/>
                <w:sz w:val="22"/>
              </w:rPr>
            </w:pPr>
            <w:r>
              <w:rPr>
                <w:rFonts w:hint="default" w:ascii="Times New Roman" w:hAnsi="Times New Roman" w:eastAsia="仿宋_GB2312" w:cs="Times New Roman"/>
                <w:b/>
                <w:bCs/>
                <w:color w:val="FA7D00"/>
                <w:kern w:val="0"/>
                <w:sz w:val="22"/>
              </w:rPr>
              <w:t>亚洲</w:t>
            </w:r>
          </w:p>
        </w:tc>
        <w:tc>
          <w:tcPr>
            <w:tcW w:w="1560" w:type="dxa"/>
            <w:tcBorders>
              <w:top w:val="nil"/>
              <w:left w:val="nil"/>
              <w:bottom w:val="single" w:color="7F7F7F" w:sz="4" w:space="0"/>
              <w:right w:val="single" w:color="7F7F7F" w:sz="4" w:space="0"/>
            </w:tcBorders>
            <w:shd w:val="clear" w:color="000000" w:fill="F2F2F2"/>
            <w:vAlign w:val="center"/>
          </w:tcPr>
          <w:p>
            <w:pPr>
              <w:widowControl/>
              <w:jc w:val="center"/>
              <w:rPr>
                <w:rFonts w:ascii="Times New Roman" w:hAnsi="Times New Roman" w:eastAsia="仿宋_GB2312" w:cs="Times New Roman"/>
                <w:b/>
                <w:bCs/>
                <w:color w:val="FA7D00"/>
                <w:kern w:val="0"/>
                <w:sz w:val="22"/>
              </w:rPr>
            </w:pPr>
            <w:r>
              <w:rPr>
                <w:rFonts w:hint="default" w:ascii="Times New Roman" w:hAnsi="Times New Roman" w:eastAsia="仿宋_GB2312" w:cs="Times New Roman"/>
                <w:b/>
                <w:bCs/>
                <w:color w:val="FA7D00"/>
                <w:kern w:val="0"/>
                <w:sz w:val="22"/>
              </w:rPr>
              <w:t>　</w:t>
            </w:r>
          </w:p>
        </w:tc>
        <w:tc>
          <w:tcPr>
            <w:tcW w:w="700" w:type="dxa"/>
            <w:tcBorders>
              <w:top w:val="nil"/>
              <w:left w:val="nil"/>
              <w:bottom w:val="single" w:color="7F7F7F" w:sz="4" w:space="0"/>
              <w:right w:val="single" w:color="7F7F7F" w:sz="4" w:space="0"/>
            </w:tcBorders>
            <w:shd w:val="clear" w:color="000000" w:fill="F2F2F2"/>
            <w:vAlign w:val="center"/>
          </w:tcPr>
          <w:p>
            <w:pPr>
              <w:widowControl/>
              <w:jc w:val="left"/>
              <w:rPr>
                <w:rFonts w:ascii="Times New Roman" w:hAnsi="Times New Roman" w:eastAsia="仿宋_GB2312" w:cs="Times New Roman"/>
                <w:b/>
                <w:bCs/>
                <w:color w:val="FA7D00"/>
                <w:kern w:val="0"/>
                <w:sz w:val="22"/>
              </w:rPr>
            </w:pPr>
            <w:r>
              <w:rPr>
                <w:rFonts w:hint="default" w:ascii="Times New Roman" w:hAnsi="Times New Roman" w:eastAsia="仿宋_GB2312" w:cs="Times New Roman"/>
                <w:b/>
                <w:bCs/>
                <w:color w:val="FA7D00"/>
                <w:kern w:val="0"/>
                <w:sz w:val="22"/>
              </w:rPr>
              <w:t>　</w:t>
            </w:r>
          </w:p>
        </w:tc>
        <w:tc>
          <w:tcPr>
            <w:tcW w:w="940" w:type="dxa"/>
            <w:tcBorders>
              <w:top w:val="nil"/>
              <w:left w:val="nil"/>
              <w:bottom w:val="single" w:color="7F7F7F" w:sz="4" w:space="0"/>
              <w:right w:val="single" w:color="7F7F7F" w:sz="4" w:space="0"/>
            </w:tcBorders>
            <w:shd w:val="clear" w:color="000000" w:fill="F2F2F2"/>
            <w:vAlign w:val="center"/>
          </w:tcPr>
          <w:p>
            <w:pPr>
              <w:widowControl/>
              <w:jc w:val="left"/>
              <w:rPr>
                <w:rFonts w:ascii="Times New Roman" w:hAnsi="Times New Roman" w:eastAsia="仿宋_GB2312" w:cs="Times New Roman"/>
                <w:b/>
                <w:bCs/>
                <w:color w:val="FA7D00"/>
                <w:kern w:val="0"/>
                <w:sz w:val="22"/>
              </w:rPr>
            </w:pPr>
            <w:r>
              <w:rPr>
                <w:rFonts w:hint="default" w:ascii="Times New Roman" w:hAnsi="Times New Roman" w:eastAsia="仿宋_GB2312" w:cs="Times New Roman"/>
                <w:b/>
                <w:bCs/>
                <w:color w:val="FA7D00"/>
                <w:kern w:val="0"/>
                <w:sz w:val="22"/>
              </w:rPr>
              <w:t>　</w:t>
            </w:r>
          </w:p>
        </w:tc>
        <w:tc>
          <w:tcPr>
            <w:tcW w:w="940" w:type="dxa"/>
            <w:tcBorders>
              <w:top w:val="nil"/>
              <w:left w:val="nil"/>
              <w:bottom w:val="single" w:color="7F7F7F" w:sz="4" w:space="0"/>
              <w:right w:val="single" w:color="7F7F7F" w:sz="4" w:space="0"/>
            </w:tcBorders>
            <w:shd w:val="clear" w:color="000000" w:fill="F2F2F2"/>
            <w:vAlign w:val="center"/>
          </w:tcPr>
          <w:p>
            <w:pPr>
              <w:widowControl/>
              <w:jc w:val="left"/>
              <w:rPr>
                <w:rFonts w:ascii="Times New Roman" w:hAnsi="Times New Roman" w:eastAsia="仿宋_GB2312" w:cs="Times New Roman"/>
                <w:b/>
                <w:bCs/>
                <w:color w:val="FA7D00"/>
                <w:kern w:val="0"/>
                <w:sz w:val="22"/>
              </w:rPr>
            </w:pPr>
            <w:r>
              <w:rPr>
                <w:rFonts w:hint="default" w:ascii="Times New Roman" w:hAnsi="Times New Roman" w:eastAsia="仿宋_GB2312" w:cs="Times New Roman"/>
                <w:b/>
                <w:bCs/>
                <w:color w:val="FA7D00"/>
                <w:kern w:val="0"/>
                <w:sz w:val="22"/>
              </w:rPr>
              <w:t>　</w:t>
            </w:r>
          </w:p>
        </w:tc>
      </w:tr>
      <w:tr>
        <w:tblPrEx>
          <w:tblCellMar>
            <w:top w:w="0" w:type="dxa"/>
            <w:left w:w="108" w:type="dxa"/>
            <w:bottom w:w="0" w:type="dxa"/>
            <w:right w:w="108" w:type="dxa"/>
          </w:tblCellMar>
        </w:tblPrEx>
        <w:trPr>
          <w:trHeight w:val="27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w:t>
            </w:r>
          </w:p>
        </w:tc>
        <w:tc>
          <w:tcPr>
            <w:tcW w:w="256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蒙古</w:t>
            </w:r>
          </w:p>
        </w:tc>
        <w:tc>
          <w:tcPr>
            <w:tcW w:w="156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single" w:color="auto" w:sz="4" w:space="0"/>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90</w:t>
            </w:r>
          </w:p>
        </w:tc>
        <w:tc>
          <w:tcPr>
            <w:tcW w:w="940" w:type="dxa"/>
            <w:tcBorders>
              <w:top w:val="single" w:color="auto" w:sz="4" w:space="0"/>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朝鲜</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120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3</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韩国</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首尔</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180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70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釜山</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180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70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济州</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180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70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6</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西归浦</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160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70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7</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光州</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160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70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8</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其他城市</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150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70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9</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日本</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东京</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日元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20000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10000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10</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大阪</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日元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18000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10000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11</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京都</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日元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18000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10000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12</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福冈</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日元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14000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10000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13</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札幌</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日元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14000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10000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14</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长崎</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日元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14000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10000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15</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名古屋</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日元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14000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10000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16</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新泻</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日元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11000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10000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17</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其他城市</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日元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9000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10000</w:t>
            </w:r>
          </w:p>
        </w:tc>
      </w:tr>
      <w:tr>
        <w:tblPrEx>
          <w:tblCellMar>
            <w:top w:w="0" w:type="dxa"/>
            <w:left w:w="108" w:type="dxa"/>
            <w:bottom w:w="0" w:type="dxa"/>
            <w:right w:w="108" w:type="dxa"/>
          </w:tblCellMar>
        </w:tblPrEx>
        <w:trPr>
          <w:trHeight w:val="252"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18</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缅甸</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90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19</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巴基斯坦</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伊斯兰堡</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270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30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20</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其他城市</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170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30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21</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斯里兰卡</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140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22</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马尔代夫</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200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23</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孟加拉</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150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9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24</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伊拉克</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巴格达</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320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9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25</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其他城市</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290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9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26</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xml:space="preserve">阿拉伯联合酋长国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200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27</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xml:space="preserve">也门共和国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萨那</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110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28</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亚丁</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90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29</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其他城市</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80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30</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阿曼</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200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31</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xml:space="preserve">伊朗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180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32</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xml:space="preserve">科威特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200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70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33</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xml:space="preserve">沙特阿拉伯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利雅得</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200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70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34</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吉达</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140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70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35</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其他城市</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120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70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36</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xml:space="preserve">巴林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190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37</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以色列</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380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70</w:t>
            </w:r>
          </w:p>
        </w:tc>
      </w:tr>
      <w:tr>
        <w:tblPrEx>
          <w:tblCellMar>
            <w:top w:w="0" w:type="dxa"/>
            <w:left w:w="108" w:type="dxa"/>
            <w:bottom w:w="0" w:type="dxa"/>
            <w:right w:w="108" w:type="dxa"/>
          </w:tblCellMar>
        </w:tblPrEx>
        <w:trPr>
          <w:trHeight w:val="9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38</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巴勒斯坦</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180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70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39</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文莱</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130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40</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印度</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新德里</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175</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302"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41</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加尔各答</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175</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42</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孟买</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200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43</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其他城市</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155</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44</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不丹</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160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45</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越南</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河内</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90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46</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胡志明</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80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47</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其他城市</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70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48</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柬埔寨</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100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49</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老挝</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130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马来西亚</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110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9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51</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菲律宾</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宿务</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180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9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52</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其他城市</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130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97"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53</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印度尼西亚</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125</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54</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东帝汶</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130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55</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泰国</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曼谷</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140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56</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宋卡</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110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57</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清迈</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90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58</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孔敬</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90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59</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其他城市</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80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60</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新加坡</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220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61</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阿富汗</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200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38</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62</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尼泊尔</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140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63</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xml:space="preserve">黎巴嫩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400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64</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塞浦路斯</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100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65</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xml:space="preserve">约旦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160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66</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土耳其</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安卡拉</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105</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67</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伊斯坦布尔</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150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68</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其他城市</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90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69</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xml:space="preserve">叙利亚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350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70</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xml:space="preserve">卡塔尔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160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60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71</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香港</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港币</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1900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72</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澳门</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港币</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1200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73</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台湾</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150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60</w:t>
            </w:r>
          </w:p>
        </w:tc>
      </w:tr>
      <w:tr>
        <w:tblPrEx>
          <w:tblCellMar>
            <w:top w:w="0" w:type="dxa"/>
            <w:left w:w="108" w:type="dxa"/>
            <w:bottom w:w="0" w:type="dxa"/>
            <w:right w:w="108" w:type="dxa"/>
          </w:tblCellMar>
        </w:tblPrEx>
        <w:trPr>
          <w:trHeight w:val="270" w:hRule="atLeast"/>
          <w:jc w:val="center"/>
        </w:trPr>
        <w:tc>
          <w:tcPr>
            <w:tcW w:w="1080" w:type="dxa"/>
            <w:tcBorders>
              <w:top w:val="single" w:color="7F7F7F" w:sz="4" w:space="0"/>
              <w:left w:val="single" w:color="7F7F7F" w:sz="4" w:space="0"/>
              <w:bottom w:val="single" w:color="7F7F7F" w:sz="4" w:space="0"/>
              <w:right w:val="single" w:color="7F7F7F" w:sz="4" w:space="0"/>
            </w:tcBorders>
            <w:shd w:val="clear" w:color="000000" w:fill="F2F2F2"/>
            <w:vAlign w:val="center"/>
          </w:tcPr>
          <w:p>
            <w:pPr>
              <w:widowControl/>
              <w:jc w:val="center"/>
              <w:rPr>
                <w:rFonts w:ascii="Times New Roman" w:hAnsi="Times New Roman" w:eastAsia="仿宋_GB2312" w:cs="Times New Roman"/>
                <w:bCs/>
                <w:color w:val="FA7D00"/>
                <w:kern w:val="0"/>
                <w:sz w:val="22"/>
              </w:rPr>
            </w:pPr>
            <w:r>
              <w:rPr>
                <w:rFonts w:hint="default" w:ascii="Times New Roman" w:hAnsi="Times New Roman" w:eastAsia="仿宋_GB2312" w:cs="Times New Roman"/>
                <w:bCs/>
                <w:color w:val="FA7D00"/>
                <w:kern w:val="0"/>
                <w:sz w:val="22"/>
              </w:rPr>
              <w:t>二</w:t>
            </w:r>
          </w:p>
        </w:tc>
        <w:tc>
          <w:tcPr>
            <w:tcW w:w="2560" w:type="dxa"/>
            <w:tcBorders>
              <w:top w:val="single" w:color="7F7F7F" w:sz="4" w:space="0"/>
              <w:left w:val="nil"/>
              <w:bottom w:val="single" w:color="7F7F7F" w:sz="4" w:space="0"/>
              <w:right w:val="single" w:color="7F7F7F" w:sz="4" w:space="0"/>
            </w:tcBorders>
            <w:shd w:val="clear" w:color="000000" w:fill="F2F2F2"/>
            <w:vAlign w:val="center"/>
          </w:tcPr>
          <w:p>
            <w:pPr>
              <w:widowControl/>
              <w:jc w:val="center"/>
              <w:rPr>
                <w:rFonts w:ascii="Times New Roman" w:hAnsi="Times New Roman" w:eastAsia="仿宋_GB2312" w:cs="Times New Roman"/>
                <w:bCs/>
                <w:color w:val="FA7D00"/>
                <w:kern w:val="0"/>
                <w:sz w:val="22"/>
              </w:rPr>
            </w:pPr>
            <w:r>
              <w:rPr>
                <w:rFonts w:hint="default" w:ascii="Times New Roman" w:hAnsi="Times New Roman" w:eastAsia="仿宋_GB2312" w:cs="Times New Roman"/>
                <w:bCs/>
                <w:color w:val="FA7D00"/>
                <w:kern w:val="0"/>
                <w:sz w:val="22"/>
              </w:rPr>
              <w:t>非洲</w:t>
            </w:r>
          </w:p>
        </w:tc>
        <w:tc>
          <w:tcPr>
            <w:tcW w:w="1560" w:type="dxa"/>
            <w:tcBorders>
              <w:top w:val="single" w:color="7F7F7F" w:sz="4" w:space="0"/>
              <w:left w:val="nil"/>
              <w:bottom w:val="single" w:color="7F7F7F" w:sz="4" w:space="0"/>
              <w:right w:val="single" w:color="7F7F7F" w:sz="4" w:space="0"/>
            </w:tcBorders>
            <w:shd w:val="clear" w:color="000000" w:fill="F2F2F2"/>
            <w:vAlign w:val="center"/>
          </w:tcPr>
          <w:p>
            <w:pPr>
              <w:widowControl/>
              <w:jc w:val="center"/>
              <w:rPr>
                <w:rFonts w:ascii="Times New Roman" w:hAnsi="Times New Roman" w:eastAsia="仿宋_GB2312" w:cs="Times New Roman"/>
                <w:bCs/>
                <w:color w:val="FA7D00"/>
                <w:kern w:val="0"/>
                <w:sz w:val="22"/>
              </w:rPr>
            </w:pPr>
            <w:r>
              <w:rPr>
                <w:rFonts w:hint="default" w:ascii="Times New Roman" w:hAnsi="Times New Roman" w:eastAsia="仿宋_GB2312" w:cs="Times New Roman"/>
                <w:bCs/>
                <w:color w:val="FA7D00"/>
                <w:kern w:val="0"/>
                <w:sz w:val="22"/>
              </w:rPr>
              <w:t>　</w:t>
            </w:r>
          </w:p>
        </w:tc>
        <w:tc>
          <w:tcPr>
            <w:tcW w:w="700" w:type="dxa"/>
            <w:tcBorders>
              <w:top w:val="single" w:color="7F7F7F" w:sz="4" w:space="0"/>
              <w:left w:val="nil"/>
              <w:bottom w:val="single" w:color="7F7F7F" w:sz="4" w:space="0"/>
              <w:right w:val="single" w:color="7F7F7F" w:sz="4" w:space="0"/>
            </w:tcBorders>
            <w:shd w:val="clear" w:color="000000" w:fill="F2F2F2"/>
            <w:vAlign w:val="center"/>
          </w:tcPr>
          <w:p>
            <w:pPr>
              <w:widowControl/>
              <w:jc w:val="left"/>
              <w:rPr>
                <w:rFonts w:ascii="Times New Roman" w:hAnsi="Times New Roman" w:eastAsia="仿宋_GB2312" w:cs="Times New Roman"/>
                <w:bCs/>
                <w:color w:val="FA7D00"/>
                <w:kern w:val="0"/>
                <w:sz w:val="22"/>
              </w:rPr>
            </w:pPr>
            <w:r>
              <w:rPr>
                <w:rFonts w:hint="default" w:ascii="Times New Roman" w:hAnsi="Times New Roman" w:eastAsia="仿宋_GB2312" w:cs="Times New Roman"/>
                <w:bCs/>
                <w:color w:val="FA7D00"/>
                <w:kern w:val="0"/>
                <w:sz w:val="22"/>
              </w:rPr>
              <w:t>　</w:t>
            </w:r>
          </w:p>
        </w:tc>
        <w:tc>
          <w:tcPr>
            <w:tcW w:w="940" w:type="dxa"/>
            <w:tcBorders>
              <w:top w:val="single" w:color="7F7F7F" w:sz="4" w:space="0"/>
              <w:left w:val="nil"/>
              <w:bottom w:val="single" w:color="7F7F7F" w:sz="4" w:space="0"/>
              <w:right w:val="single" w:color="7F7F7F" w:sz="4" w:space="0"/>
            </w:tcBorders>
            <w:shd w:val="clear" w:color="000000" w:fill="F2F2F2"/>
            <w:vAlign w:val="center"/>
          </w:tcPr>
          <w:p>
            <w:pPr>
              <w:widowControl/>
              <w:jc w:val="left"/>
              <w:rPr>
                <w:rFonts w:ascii="Times New Roman" w:hAnsi="Times New Roman" w:eastAsia="仿宋_GB2312" w:cs="Times New Roman"/>
                <w:bCs/>
                <w:color w:val="FA7D00"/>
                <w:kern w:val="0"/>
                <w:sz w:val="22"/>
              </w:rPr>
            </w:pPr>
            <w:r>
              <w:rPr>
                <w:rFonts w:hint="default" w:ascii="Times New Roman" w:hAnsi="Times New Roman" w:eastAsia="仿宋_GB2312" w:cs="Times New Roman"/>
                <w:bCs/>
                <w:color w:val="FA7D00"/>
                <w:kern w:val="0"/>
                <w:sz w:val="22"/>
              </w:rPr>
              <w:t>　</w:t>
            </w:r>
          </w:p>
        </w:tc>
        <w:tc>
          <w:tcPr>
            <w:tcW w:w="940" w:type="dxa"/>
            <w:tcBorders>
              <w:top w:val="single" w:color="7F7F7F" w:sz="4" w:space="0"/>
              <w:left w:val="nil"/>
              <w:bottom w:val="single" w:color="7F7F7F" w:sz="4" w:space="0"/>
              <w:right w:val="single" w:color="7F7F7F" w:sz="4" w:space="0"/>
            </w:tcBorders>
            <w:shd w:val="clear" w:color="000000" w:fill="F2F2F2"/>
            <w:vAlign w:val="center"/>
          </w:tcPr>
          <w:p>
            <w:pPr>
              <w:widowControl/>
              <w:jc w:val="left"/>
              <w:rPr>
                <w:rFonts w:ascii="Times New Roman" w:hAnsi="Times New Roman" w:eastAsia="仿宋_GB2312" w:cs="Times New Roman"/>
                <w:bCs/>
                <w:color w:val="FA7D00"/>
                <w:kern w:val="0"/>
                <w:sz w:val="22"/>
              </w:rPr>
            </w:pPr>
            <w:r>
              <w:rPr>
                <w:rFonts w:hint="default" w:ascii="Times New Roman" w:hAnsi="Times New Roman" w:eastAsia="仿宋_GB2312" w:cs="Times New Roman"/>
                <w:bCs/>
                <w:color w:val="FA7D00"/>
                <w:kern w:val="0"/>
                <w:sz w:val="22"/>
              </w:rPr>
              <w:t>　</w:t>
            </w:r>
          </w:p>
        </w:tc>
      </w:tr>
      <w:tr>
        <w:tblPrEx>
          <w:tblCellMar>
            <w:top w:w="0" w:type="dxa"/>
            <w:left w:w="108" w:type="dxa"/>
            <w:bottom w:w="0" w:type="dxa"/>
            <w:right w:w="108" w:type="dxa"/>
          </w:tblCellMar>
        </w:tblPrEx>
        <w:trPr>
          <w:trHeight w:val="27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74</w:t>
            </w:r>
          </w:p>
        </w:tc>
        <w:tc>
          <w:tcPr>
            <w:tcW w:w="256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xml:space="preserve">马达加斯加 </w:t>
            </w:r>
          </w:p>
        </w:tc>
        <w:tc>
          <w:tcPr>
            <w:tcW w:w="156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塔那那利佛</w:t>
            </w:r>
          </w:p>
        </w:tc>
        <w:tc>
          <w:tcPr>
            <w:tcW w:w="70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single" w:color="auto" w:sz="4" w:space="0"/>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130</w:t>
            </w:r>
          </w:p>
        </w:tc>
        <w:tc>
          <w:tcPr>
            <w:tcW w:w="940" w:type="dxa"/>
            <w:tcBorders>
              <w:top w:val="single" w:color="auto" w:sz="4" w:space="0"/>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38</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75</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塔马塔夫</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100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38</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76</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其他城市</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90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38</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77</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xml:space="preserve">喀麦隆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120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78</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xml:space="preserve">多哥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110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48</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79</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xml:space="preserve">科特迪瓦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120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80</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摩洛哥</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130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81</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xml:space="preserve">阿尔及利亚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180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82</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xml:space="preserve">卢旺达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130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32</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83</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xml:space="preserve">几内亚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130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84</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xml:space="preserve">埃塞俄比亚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210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85</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厄立特里亚</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110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86</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xml:space="preserve">莫桑比克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170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87</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xml:space="preserve">塞舌尔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240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88</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肯尼亚</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195</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89</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xml:space="preserve">利比亚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160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90</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xml:space="preserve">安哥拉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400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60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91</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赞比亚</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150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92</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几内亚(比绍)</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170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93</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xml:space="preserve">突尼斯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100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94</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xml:space="preserve">布隆迪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220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95</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莱索托</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100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35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96</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津巴布韦</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120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45</w:t>
            </w:r>
          </w:p>
        </w:tc>
      </w:tr>
      <w:tr>
        <w:tblPrEx>
          <w:tblCellMar>
            <w:top w:w="0" w:type="dxa"/>
            <w:left w:w="108" w:type="dxa"/>
            <w:bottom w:w="0" w:type="dxa"/>
            <w:right w:w="108" w:type="dxa"/>
          </w:tblCellMar>
        </w:tblPrEx>
        <w:trPr>
          <w:trHeight w:val="297"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97</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xml:space="preserve">尼日利亚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阿布贾</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270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60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98</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拉各斯</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300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60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99</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其他城市</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250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60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100</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xml:space="preserve">毛里求斯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155</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101</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xml:space="preserve">索马里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200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102</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苏丹</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130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103</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xml:space="preserve">贝宁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150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35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104</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xml:space="preserve">马里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280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105</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xml:space="preserve">乌干达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170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106</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xml:space="preserve">塞拉利昂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155</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107</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xml:space="preserve">吉布提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160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60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108</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xml:space="preserve">塞内加尔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165</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109</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xml:space="preserve">冈比亚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170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110</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加蓬</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180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60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111</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xml:space="preserve">中非共和国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280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112</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xml:space="preserve">布基纳法索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140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113</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毛里塔尼亚</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130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114</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xml:space="preserve">尼日尔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145</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115</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xml:space="preserve">乍得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220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116</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xml:space="preserve">赤道几内亚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200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117</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xml:space="preserve">加纳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250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118</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xml:space="preserve">坦桑尼亚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达累斯萨拉姆</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180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119</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桑给巴尔</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210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120</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其他城市</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160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121</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刚果(布)</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170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122</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刚果(金)</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220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123</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xml:space="preserve">埃及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170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124</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xml:space="preserve">圣多美和普林西比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170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125</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xml:space="preserve">博茨瓦那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170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126</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南非</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比勒陀利亚</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170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127</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约翰内斯堡</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170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128</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开普敦</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210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129</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德班</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150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130</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其他城市</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130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131</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xml:space="preserve">纳米比亚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140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35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132</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斯威士兰</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150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133</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xml:space="preserve">利比里亚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220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134</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佛得角</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120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135</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xml:space="preserve">科摩罗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120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136</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南苏丹</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200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137</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马拉维</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130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single" w:color="7F7F7F" w:sz="4" w:space="0"/>
              <w:left w:val="single" w:color="7F7F7F" w:sz="4" w:space="0"/>
              <w:bottom w:val="single" w:color="7F7F7F" w:sz="4" w:space="0"/>
              <w:right w:val="single" w:color="7F7F7F" w:sz="4" w:space="0"/>
            </w:tcBorders>
            <w:shd w:val="clear" w:color="000000" w:fill="F2F2F2"/>
            <w:vAlign w:val="center"/>
          </w:tcPr>
          <w:p>
            <w:pPr>
              <w:widowControl/>
              <w:jc w:val="center"/>
              <w:rPr>
                <w:rFonts w:ascii="Times New Roman" w:hAnsi="Times New Roman" w:eastAsia="仿宋_GB2312" w:cs="Times New Roman"/>
                <w:bCs/>
                <w:color w:val="FA7D00"/>
                <w:kern w:val="0"/>
                <w:sz w:val="22"/>
              </w:rPr>
            </w:pPr>
            <w:r>
              <w:rPr>
                <w:rFonts w:hint="default" w:ascii="Times New Roman" w:hAnsi="Times New Roman" w:eastAsia="仿宋_GB2312" w:cs="Times New Roman"/>
                <w:bCs/>
                <w:color w:val="FA7D00"/>
                <w:kern w:val="0"/>
                <w:sz w:val="22"/>
              </w:rPr>
              <w:t>三</w:t>
            </w:r>
          </w:p>
        </w:tc>
        <w:tc>
          <w:tcPr>
            <w:tcW w:w="2560" w:type="dxa"/>
            <w:tcBorders>
              <w:top w:val="single" w:color="7F7F7F" w:sz="4" w:space="0"/>
              <w:left w:val="nil"/>
              <w:bottom w:val="single" w:color="7F7F7F" w:sz="4" w:space="0"/>
              <w:right w:val="single" w:color="7F7F7F" w:sz="4" w:space="0"/>
            </w:tcBorders>
            <w:shd w:val="clear" w:color="000000" w:fill="F2F2F2"/>
            <w:vAlign w:val="center"/>
          </w:tcPr>
          <w:p>
            <w:pPr>
              <w:widowControl/>
              <w:jc w:val="center"/>
              <w:rPr>
                <w:rFonts w:ascii="Times New Roman" w:hAnsi="Times New Roman" w:eastAsia="仿宋_GB2312" w:cs="Times New Roman"/>
                <w:bCs/>
                <w:color w:val="FA7D00"/>
                <w:kern w:val="0"/>
                <w:sz w:val="22"/>
              </w:rPr>
            </w:pPr>
            <w:r>
              <w:rPr>
                <w:rFonts w:hint="default" w:ascii="Times New Roman" w:hAnsi="Times New Roman" w:eastAsia="仿宋_GB2312" w:cs="Times New Roman"/>
                <w:bCs/>
                <w:color w:val="FA7D00"/>
                <w:kern w:val="0"/>
                <w:sz w:val="22"/>
              </w:rPr>
              <w:t>欧洲</w:t>
            </w:r>
          </w:p>
        </w:tc>
        <w:tc>
          <w:tcPr>
            <w:tcW w:w="1560" w:type="dxa"/>
            <w:tcBorders>
              <w:top w:val="single" w:color="7F7F7F" w:sz="4" w:space="0"/>
              <w:left w:val="nil"/>
              <w:bottom w:val="single" w:color="7F7F7F" w:sz="4" w:space="0"/>
              <w:right w:val="single" w:color="7F7F7F" w:sz="4" w:space="0"/>
            </w:tcBorders>
            <w:shd w:val="clear" w:color="000000" w:fill="F2F2F2"/>
            <w:vAlign w:val="center"/>
          </w:tcPr>
          <w:p>
            <w:pPr>
              <w:widowControl/>
              <w:jc w:val="center"/>
              <w:rPr>
                <w:rFonts w:ascii="Times New Roman" w:hAnsi="Times New Roman" w:eastAsia="仿宋_GB2312" w:cs="Times New Roman"/>
                <w:bCs/>
                <w:color w:val="FA7D00"/>
                <w:kern w:val="0"/>
                <w:sz w:val="22"/>
              </w:rPr>
            </w:pPr>
            <w:r>
              <w:rPr>
                <w:rFonts w:hint="default" w:ascii="Times New Roman" w:hAnsi="Times New Roman" w:eastAsia="仿宋_GB2312" w:cs="Times New Roman"/>
                <w:bCs/>
                <w:color w:val="FA7D00"/>
                <w:kern w:val="0"/>
                <w:sz w:val="22"/>
              </w:rPr>
              <w:t>　</w:t>
            </w:r>
          </w:p>
        </w:tc>
        <w:tc>
          <w:tcPr>
            <w:tcW w:w="700" w:type="dxa"/>
            <w:tcBorders>
              <w:top w:val="single" w:color="7F7F7F" w:sz="4" w:space="0"/>
              <w:left w:val="nil"/>
              <w:bottom w:val="single" w:color="7F7F7F" w:sz="4" w:space="0"/>
              <w:right w:val="single" w:color="7F7F7F" w:sz="4" w:space="0"/>
            </w:tcBorders>
            <w:shd w:val="clear" w:color="000000" w:fill="F2F2F2"/>
            <w:vAlign w:val="center"/>
          </w:tcPr>
          <w:p>
            <w:pPr>
              <w:widowControl/>
              <w:jc w:val="left"/>
              <w:rPr>
                <w:rFonts w:ascii="Times New Roman" w:hAnsi="Times New Roman" w:eastAsia="仿宋_GB2312" w:cs="Times New Roman"/>
                <w:bCs/>
                <w:color w:val="FA7D00"/>
                <w:kern w:val="0"/>
                <w:sz w:val="22"/>
              </w:rPr>
            </w:pPr>
            <w:r>
              <w:rPr>
                <w:rFonts w:hint="default" w:ascii="Times New Roman" w:hAnsi="Times New Roman" w:eastAsia="仿宋_GB2312" w:cs="Times New Roman"/>
                <w:bCs/>
                <w:color w:val="FA7D00"/>
                <w:kern w:val="0"/>
                <w:sz w:val="22"/>
              </w:rPr>
              <w:t>　</w:t>
            </w:r>
          </w:p>
        </w:tc>
        <w:tc>
          <w:tcPr>
            <w:tcW w:w="940" w:type="dxa"/>
            <w:tcBorders>
              <w:top w:val="single" w:color="7F7F7F" w:sz="4" w:space="0"/>
              <w:left w:val="nil"/>
              <w:bottom w:val="single" w:color="7F7F7F" w:sz="4" w:space="0"/>
              <w:right w:val="single" w:color="7F7F7F" w:sz="4" w:space="0"/>
            </w:tcBorders>
            <w:shd w:val="clear" w:color="000000" w:fill="F2F2F2"/>
            <w:vAlign w:val="center"/>
          </w:tcPr>
          <w:p>
            <w:pPr>
              <w:widowControl/>
              <w:jc w:val="left"/>
              <w:rPr>
                <w:rFonts w:ascii="Times New Roman" w:hAnsi="Times New Roman" w:eastAsia="仿宋_GB2312" w:cs="Times New Roman"/>
                <w:bCs/>
                <w:color w:val="FA7D00"/>
                <w:kern w:val="0"/>
                <w:sz w:val="22"/>
              </w:rPr>
            </w:pPr>
            <w:r>
              <w:rPr>
                <w:rFonts w:hint="default" w:ascii="Times New Roman" w:hAnsi="Times New Roman" w:eastAsia="仿宋_GB2312" w:cs="Times New Roman"/>
                <w:bCs/>
                <w:color w:val="FA7D00"/>
                <w:kern w:val="0"/>
                <w:sz w:val="22"/>
              </w:rPr>
              <w:t>　</w:t>
            </w:r>
          </w:p>
        </w:tc>
        <w:tc>
          <w:tcPr>
            <w:tcW w:w="940" w:type="dxa"/>
            <w:tcBorders>
              <w:top w:val="single" w:color="7F7F7F" w:sz="4" w:space="0"/>
              <w:left w:val="nil"/>
              <w:bottom w:val="single" w:color="7F7F7F" w:sz="4" w:space="0"/>
              <w:right w:val="single" w:color="7F7F7F" w:sz="4" w:space="0"/>
            </w:tcBorders>
            <w:shd w:val="clear" w:color="000000" w:fill="F2F2F2"/>
            <w:vAlign w:val="center"/>
          </w:tcPr>
          <w:p>
            <w:pPr>
              <w:widowControl/>
              <w:jc w:val="left"/>
              <w:rPr>
                <w:rFonts w:ascii="Times New Roman" w:hAnsi="Times New Roman" w:eastAsia="仿宋_GB2312" w:cs="Times New Roman"/>
                <w:bCs/>
                <w:color w:val="FA7D00"/>
                <w:kern w:val="0"/>
                <w:sz w:val="22"/>
              </w:rPr>
            </w:pPr>
            <w:r>
              <w:rPr>
                <w:rFonts w:hint="default" w:ascii="Times New Roman" w:hAnsi="Times New Roman" w:eastAsia="仿宋_GB2312" w:cs="Times New Roman"/>
                <w:bCs/>
                <w:color w:val="FA7D00"/>
                <w:kern w:val="0"/>
                <w:sz w:val="22"/>
              </w:rPr>
              <w:t>　</w:t>
            </w:r>
          </w:p>
        </w:tc>
      </w:tr>
      <w:tr>
        <w:tblPrEx>
          <w:tblCellMar>
            <w:top w:w="0" w:type="dxa"/>
            <w:left w:w="108" w:type="dxa"/>
            <w:bottom w:w="0" w:type="dxa"/>
            <w:right w:w="108" w:type="dxa"/>
          </w:tblCellMar>
        </w:tblPrEx>
        <w:trPr>
          <w:trHeight w:val="27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138</w:t>
            </w:r>
          </w:p>
        </w:tc>
        <w:tc>
          <w:tcPr>
            <w:tcW w:w="256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罗马尼亚</w:t>
            </w:r>
          </w:p>
        </w:tc>
        <w:tc>
          <w:tcPr>
            <w:tcW w:w="156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布加勒斯特</w:t>
            </w:r>
          </w:p>
        </w:tc>
        <w:tc>
          <w:tcPr>
            <w:tcW w:w="70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single" w:color="auto" w:sz="4" w:space="0"/>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120</w:t>
            </w:r>
          </w:p>
        </w:tc>
        <w:tc>
          <w:tcPr>
            <w:tcW w:w="940" w:type="dxa"/>
            <w:tcBorders>
              <w:top w:val="single" w:color="auto" w:sz="4" w:space="0"/>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139</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康斯坦察</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120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140</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其他城市</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80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141</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马其顿</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120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142</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斯洛文尼亚共和国</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欧元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140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30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143</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波斯尼亚－黑塞哥维那</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100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144</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克罗地亚共和国</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180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145</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阿尔巴尼亚</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150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35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146</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保加利亚</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110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147</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俄罗斯</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莫斯科</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285</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148</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哈巴罗夫斯克</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200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149</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叶卡捷琳堡</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170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150</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圣彼得堡</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170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151</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伊尔库萨克</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150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152</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其他城市</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140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153</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立陶宛</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120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154</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xml:space="preserve">拉脱维亚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欧元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120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35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155</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xml:space="preserve">爱沙尼亚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欧元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120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35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156</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乌克兰</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基辅</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130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157</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敖德萨</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130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158</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其他城市</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80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159</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阿塞拜疆</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150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160</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亚美尼亚</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120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161</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格鲁吉亚</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150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162</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吉尔吉斯斯坦</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比什凯克</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230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163</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其他城市</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80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164</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塔吉克斯坦</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210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165</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土库曼斯坦</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120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166</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乌兹别克斯坦</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塔什干</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120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167</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撒马尔罕</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100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168</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其他城市</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90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169</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xml:space="preserve">白俄罗斯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180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170</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哈萨克斯坦</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阿斯塔纳</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200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171</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阿拉木图</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200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172</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其他城市</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140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173</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xml:space="preserve">摩尔多瓦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90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174</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xml:space="preserve">波兰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华沙</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190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175</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革但斯克</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130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176</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其他城市</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120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177</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德国</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柏林</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欧元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150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60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178</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汉堡</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欧元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150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60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179</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慕尼黑</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欧元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170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60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180</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法兰克福</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欧元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180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60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181</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其他城市</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欧元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120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60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182</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荷兰</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海牙</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欧元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150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60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183</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阿姆斯特丹</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欧元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170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60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184</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其他城市</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欧元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130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60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185</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意大利</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罗马</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欧元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160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65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186</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米兰</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欧元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140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65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187</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佛罗伦萨</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欧元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120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65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188</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其他城市</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欧元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110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65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189</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比利时</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欧元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160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60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190</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奥地利</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欧元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140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60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191</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希腊</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欧元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150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192</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法国</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巴黎</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欧元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180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60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193</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马赛</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欧元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160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60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194</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斯特拉斯堡</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欧元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160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60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195</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尼斯</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欧元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160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60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196</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里昂</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欧元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160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60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197</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其他城市</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欧元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150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60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198</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西班牙</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欧元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125</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60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199</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卢森堡</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欧元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160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200</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爱尔兰</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欧元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160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60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201</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葡萄牙</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欧元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130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60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202</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芬兰</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欧元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145</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60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203</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捷克共和国</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160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204</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xml:space="preserve">斯洛伐克共和国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120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35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205</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匈牙利</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180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206</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瑞典</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280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80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207</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丹麦</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200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80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208</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挪威</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200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80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209</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瑞士</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230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70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210</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冰岛</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260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65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211</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马耳他</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欧元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160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38</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212</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塞尔维亚</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120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213</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黑山</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欧元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90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30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214</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英国</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伦敦</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英镑</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200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215</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曼彻斯特</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英镑</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140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216</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爱丁堡</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英镑</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140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217</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其他城市</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英镑</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125</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45</w:t>
            </w:r>
          </w:p>
        </w:tc>
      </w:tr>
      <w:tr>
        <w:tblPrEx>
          <w:tblCellMar>
            <w:top w:w="0" w:type="dxa"/>
            <w:left w:w="108" w:type="dxa"/>
            <w:bottom w:w="0" w:type="dxa"/>
            <w:right w:w="108" w:type="dxa"/>
          </w:tblCellMar>
        </w:tblPrEx>
        <w:trPr>
          <w:trHeight w:val="270" w:hRule="atLeast"/>
          <w:jc w:val="center"/>
        </w:trPr>
        <w:tc>
          <w:tcPr>
            <w:tcW w:w="1080" w:type="dxa"/>
            <w:tcBorders>
              <w:top w:val="single" w:color="7F7F7F" w:sz="4" w:space="0"/>
              <w:left w:val="single" w:color="7F7F7F" w:sz="4" w:space="0"/>
              <w:bottom w:val="single" w:color="7F7F7F" w:sz="4" w:space="0"/>
              <w:right w:val="single" w:color="7F7F7F" w:sz="4" w:space="0"/>
            </w:tcBorders>
            <w:shd w:val="clear" w:color="000000" w:fill="F2F2F2"/>
            <w:vAlign w:val="center"/>
          </w:tcPr>
          <w:p>
            <w:pPr>
              <w:widowControl/>
              <w:jc w:val="center"/>
              <w:rPr>
                <w:rFonts w:ascii="Times New Roman" w:hAnsi="Times New Roman" w:eastAsia="仿宋_GB2312" w:cs="Times New Roman"/>
                <w:bCs/>
                <w:color w:val="FA7D00"/>
                <w:kern w:val="0"/>
                <w:sz w:val="22"/>
              </w:rPr>
            </w:pPr>
            <w:r>
              <w:rPr>
                <w:rFonts w:hint="default" w:ascii="Times New Roman" w:hAnsi="Times New Roman" w:eastAsia="仿宋_GB2312" w:cs="Times New Roman"/>
                <w:bCs/>
                <w:color w:val="FA7D00"/>
                <w:kern w:val="0"/>
                <w:sz w:val="22"/>
              </w:rPr>
              <w:t>四</w:t>
            </w:r>
          </w:p>
        </w:tc>
        <w:tc>
          <w:tcPr>
            <w:tcW w:w="2560" w:type="dxa"/>
            <w:tcBorders>
              <w:top w:val="single" w:color="7F7F7F" w:sz="4" w:space="0"/>
              <w:left w:val="nil"/>
              <w:bottom w:val="single" w:color="7F7F7F" w:sz="4" w:space="0"/>
              <w:right w:val="single" w:color="7F7F7F" w:sz="4" w:space="0"/>
            </w:tcBorders>
            <w:shd w:val="clear" w:color="000000" w:fill="F2F2F2"/>
            <w:vAlign w:val="center"/>
          </w:tcPr>
          <w:p>
            <w:pPr>
              <w:widowControl/>
              <w:jc w:val="center"/>
              <w:rPr>
                <w:rFonts w:ascii="Times New Roman" w:hAnsi="Times New Roman" w:eastAsia="仿宋_GB2312" w:cs="Times New Roman"/>
                <w:bCs/>
                <w:color w:val="FA7D00"/>
                <w:kern w:val="0"/>
                <w:sz w:val="22"/>
              </w:rPr>
            </w:pPr>
            <w:r>
              <w:rPr>
                <w:rFonts w:hint="default" w:ascii="Times New Roman" w:hAnsi="Times New Roman" w:eastAsia="仿宋_GB2312" w:cs="Times New Roman"/>
                <w:bCs/>
                <w:color w:val="FA7D00"/>
                <w:kern w:val="0"/>
                <w:sz w:val="22"/>
              </w:rPr>
              <w:t>美洲</w:t>
            </w:r>
          </w:p>
        </w:tc>
        <w:tc>
          <w:tcPr>
            <w:tcW w:w="1560" w:type="dxa"/>
            <w:tcBorders>
              <w:top w:val="single" w:color="7F7F7F" w:sz="4" w:space="0"/>
              <w:left w:val="nil"/>
              <w:bottom w:val="single" w:color="7F7F7F" w:sz="4" w:space="0"/>
              <w:right w:val="single" w:color="7F7F7F" w:sz="4" w:space="0"/>
            </w:tcBorders>
            <w:shd w:val="clear" w:color="000000" w:fill="F2F2F2"/>
            <w:vAlign w:val="center"/>
          </w:tcPr>
          <w:p>
            <w:pPr>
              <w:widowControl/>
              <w:jc w:val="center"/>
              <w:rPr>
                <w:rFonts w:ascii="Times New Roman" w:hAnsi="Times New Roman" w:eastAsia="仿宋_GB2312" w:cs="Times New Roman"/>
                <w:bCs/>
                <w:color w:val="FA7D00"/>
                <w:kern w:val="0"/>
                <w:sz w:val="22"/>
              </w:rPr>
            </w:pPr>
            <w:r>
              <w:rPr>
                <w:rFonts w:hint="default" w:ascii="Times New Roman" w:hAnsi="Times New Roman" w:eastAsia="仿宋_GB2312" w:cs="Times New Roman"/>
                <w:bCs/>
                <w:color w:val="FA7D00"/>
                <w:kern w:val="0"/>
                <w:sz w:val="22"/>
              </w:rPr>
              <w:t>　</w:t>
            </w:r>
          </w:p>
        </w:tc>
        <w:tc>
          <w:tcPr>
            <w:tcW w:w="700" w:type="dxa"/>
            <w:tcBorders>
              <w:top w:val="single" w:color="7F7F7F" w:sz="4" w:space="0"/>
              <w:left w:val="nil"/>
              <w:bottom w:val="single" w:color="7F7F7F" w:sz="4" w:space="0"/>
              <w:right w:val="single" w:color="7F7F7F" w:sz="4" w:space="0"/>
            </w:tcBorders>
            <w:shd w:val="clear" w:color="000000" w:fill="F2F2F2"/>
            <w:vAlign w:val="center"/>
          </w:tcPr>
          <w:p>
            <w:pPr>
              <w:widowControl/>
              <w:jc w:val="left"/>
              <w:rPr>
                <w:rFonts w:ascii="Times New Roman" w:hAnsi="Times New Roman" w:eastAsia="仿宋_GB2312" w:cs="Times New Roman"/>
                <w:bCs/>
                <w:color w:val="FA7D00"/>
                <w:kern w:val="0"/>
                <w:sz w:val="22"/>
              </w:rPr>
            </w:pPr>
            <w:r>
              <w:rPr>
                <w:rFonts w:hint="default" w:ascii="Times New Roman" w:hAnsi="Times New Roman" w:eastAsia="仿宋_GB2312" w:cs="Times New Roman"/>
                <w:bCs/>
                <w:color w:val="FA7D00"/>
                <w:kern w:val="0"/>
                <w:sz w:val="22"/>
              </w:rPr>
              <w:t>　</w:t>
            </w:r>
          </w:p>
        </w:tc>
        <w:tc>
          <w:tcPr>
            <w:tcW w:w="940" w:type="dxa"/>
            <w:tcBorders>
              <w:top w:val="single" w:color="7F7F7F" w:sz="4" w:space="0"/>
              <w:left w:val="nil"/>
              <w:bottom w:val="single" w:color="7F7F7F" w:sz="4" w:space="0"/>
              <w:right w:val="single" w:color="7F7F7F" w:sz="4" w:space="0"/>
            </w:tcBorders>
            <w:shd w:val="clear" w:color="000000" w:fill="F2F2F2"/>
            <w:vAlign w:val="center"/>
          </w:tcPr>
          <w:p>
            <w:pPr>
              <w:widowControl/>
              <w:jc w:val="left"/>
              <w:rPr>
                <w:rFonts w:ascii="Times New Roman" w:hAnsi="Times New Roman" w:eastAsia="仿宋_GB2312" w:cs="Times New Roman"/>
                <w:bCs/>
                <w:color w:val="FA7D00"/>
                <w:kern w:val="0"/>
                <w:sz w:val="22"/>
              </w:rPr>
            </w:pPr>
            <w:r>
              <w:rPr>
                <w:rFonts w:hint="default" w:ascii="Times New Roman" w:hAnsi="Times New Roman" w:eastAsia="仿宋_GB2312" w:cs="Times New Roman"/>
                <w:bCs/>
                <w:color w:val="FA7D00"/>
                <w:kern w:val="0"/>
                <w:sz w:val="22"/>
              </w:rPr>
              <w:t>　</w:t>
            </w:r>
          </w:p>
        </w:tc>
        <w:tc>
          <w:tcPr>
            <w:tcW w:w="940" w:type="dxa"/>
            <w:tcBorders>
              <w:top w:val="single" w:color="7F7F7F" w:sz="4" w:space="0"/>
              <w:left w:val="nil"/>
              <w:bottom w:val="single" w:color="7F7F7F" w:sz="4" w:space="0"/>
              <w:right w:val="single" w:color="7F7F7F" w:sz="4" w:space="0"/>
            </w:tcBorders>
            <w:shd w:val="clear" w:color="000000" w:fill="F2F2F2"/>
            <w:vAlign w:val="center"/>
          </w:tcPr>
          <w:p>
            <w:pPr>
              <w:widowControl/>
              <w:jc w:val="left"/>
              <w:rPr>
                <w:rFonts w:ascii="Times New Roman" w:hAnsi="Times New Roman" w:eastAsia="仿宋_GB2312" w:cs="Times New Roman"/>
                <w:bCs/>
                <w:color w:val="FA7D00"/>
                <w:kern w:val="0"/>
                <w:sz w:val="22"/>
              </w:rPr>
            </w:pPr>
            <w:r>
              <w:rPr>
                <w:rFonts w:hint="default" w:ascii="Times New Roman" w:hAnsi="Times New Roman" w:eastAsia="仿宋_GB2312" w:cs="Times New Roman"/>
                <w:bCs/>
                <w:color w:val="FA7D00"/>
                <w:kern w:val="0"/>
                <w:sz w:val="22"/>
              </w:rPr>
              <w:t>　</w:t>
            </w:r>
          </w:p>
        </w:tc>
      </w:tr>
      <w:tr>
        <w:tblPrEx>
          <w:tblCellMar>
            <w:top w:w="0" w:type="dxa"/>
            <w:left w:w="108" w:type="dxa"/>
            <w:bottom w:w="0" w:type="dxa"/>
            <w:right w:w="108" w:type="dxa"/>
          </w:tblCellMar>
        </w:tblPrEx>
        <w:trPr>
          <w:trHeight w:val="382"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218</w:t>
            </w:r>
          </w:p>
        </w:tc>
        <w:tc>
          <w:tcPr>
            <w:tcW w:w="256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美国</w:t>
            </w:r>
          </w:p>
        </w:tc>
        <w:tc>
          <w:tcPr>
            <w:tcW w:w="156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华盛顿</w:t>
            </w:r>
          </w:p>
        </w:tc>
        <w:tc>
          <w:tcPr>
            <w:tcW w:w="70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single" w:color="auto" w:sz="4" w:space="0"/>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260</w:t>
            </w:r>
          </w:p>
        </w:tc>
        <w:tc>
          <w:tcPr>
            <w:tcW w:w="940" w:type="dxa"/>
            <w:tcBorders>
              <w:top w:val="single" w:color="auto" w:sz="4" w:space="0"/>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219</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旧金山</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250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220</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休斯敦</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180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221</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波士顿</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230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222</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纽约</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270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223</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芝加哥</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260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224</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洛杉矶</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250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225</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夏威夷</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195</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226</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其他城市</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200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227</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加拿大</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渥太华</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210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228</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多伦多</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210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229</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卡尔加里</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210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230</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蒙特利尔</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210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231</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温哥华</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240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232</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其他城市</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190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233</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xml:space="preserve">墨西哥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墨西哥</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150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234</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坎昆</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160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235</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蒂华纳</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120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236</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其他城市</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100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237</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巴西</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巴西利亚</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160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238</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圣保罗</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240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239</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里约热内卢</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260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240</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其他城市</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150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241</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xml:space="preserve">牙买加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160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242</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特立尼达和多巴哥</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180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80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243</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xml:space="preserve">厄瓜多尔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150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244</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xml:space="preserve">阿根廷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190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245</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乌拉圭</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135</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246</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智利</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圣地亚哥</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135</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47</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247</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伊基克</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120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47</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248</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安托法加斯塔</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140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47</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249</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阿里卡</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140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47</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250</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其他城市</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100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47</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251</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xml:space="preserve">哥伦比亚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波哥大</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190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252</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麦德林</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110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253</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卡塔赫纳</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120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254</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其他城市</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100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255</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巴巴多斯</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250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60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256</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圭亚那</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160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257</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古巴</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200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258</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巴拿马</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135</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259</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格林纳达</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280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260</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安提瓜和巴布达</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220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60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261</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秘鲁</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140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262</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玻利维亚</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110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36</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263</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尼加拉瓜</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120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264</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xml:space="preserve">苏里南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140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265</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委内瑞拉</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230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266</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海地</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180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267</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xml:space="preserve">波多黎各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150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268</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多米尼加共和国</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150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269</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多米尼克</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200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270</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巴哈马</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220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271</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xml:space="preserve">圣卢西亚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200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272</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阿鲁巴岛</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200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273</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xml:space="preserve">哥斯达黎加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120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45</w:t>
            </w:r>
          </w:p>
        </w:tc>
      </w:tr>
      <w:tr>
        <w:tblPrEx>
          <w:tblCellMar>
            <w:top w:w="0" w:type="dxa"/>
            <w:left w:w="108" w:type="dxa"/>
            <w:bottom w:w="0" w:type="dxa"/>
            <w:right w:w="108" w:type="dxa"/>
          </w:tblCellMar>
        </w:tblPrEx>
        <w:trPr>
          <w:trHeight w:val="270" w:hRule="atLeast"/>
          <w:jc w:val="center"/>
        </w:trPr>
        <w:tc>
          <w:tcPr>
            <w:tcW w:w="1080" w:type="dxa"/>
            <w:tcBorders>
              <w:top w:val="single" w:color="7F7F7F" w:sz="4" w:space="0"/>
              <w:left w:val="single" w:color="7F7F7F" w:sz="4" w:space="0"/>
              <w:bottom w:val="single" w:color="7F7F7F" w:sz="4" w:space="0"/>
              <w:right w:val="single" w:color="7F7F7F" w:sz="4" w:space="0"/>
            </w:tcBorders>
            <w:shd w:val="clear" w:color="000000" w:fill="F2F2F2"/>
            <w:vAlign w:val="center"/>
          </w:tcPr>
          <w:p>
            <w:pPr>
              <w:widowControl/>
              <w:jc w:val="center"/>
              <w:rPr>
                <w:rFonts w:ascii="Times New Roman" w:hAnsi="Times New Roman" w:eastAsia="仿宋_GB2312" w:cs="Times New Roman"/>
                <w:bCs/>
                <w:color w:val="FA7D00"/>
                <w:kern w:val="0"/>
                <w:sz w:val="22"/>
              </w:rPr>
            </w:pPr>
            <w:r>
              <w:rPr>
                <w:rFonts w:hint="default" w:ascii="Times New Roman" w:hAnsi="Times New Roman" w:eastAsia="仿宋_GB2312" w:cs="Times New Roman"/>
                <w:bCs/>
                <w:color w:val="FA7D00"/>
                <w:kern w:val="0"/>
                <w:sz w:val="22"/>
              </w:rPr>
              <w:t>五</w:t>
            </w:r>
          </w:p>
        </w:tc>
        <w:tc>
          <w:tcPr>
            <w:tcW w:w="2560" w:type="dxa"/>
            <w:tcBorders>
              <w:top w:val="single" w:color="7F7F7F" w:sz="4" w:space="0"/>
              <w:left w:val="nil"/>
              <w:bottom w:val="single" w:color="7F7F7F" w:sz="4" w:space="0"/>
              <w:right w:val="single" w:color="7F7F7F" w:sz="4" w:space="0"/>
            </w:tcBorders>
            <w:shd w:val="clear" w:color="000000" w:fill="F2F2F2"/>
            <w:vAlign w:val="center"/>
          </w:tcPr>
          <w:p>
            <w:pPr>
              <w:widowControl/>
              <w:jc w:val="center"/>
              <w:rPr>
                <w:rFonts w:ascii="Times New Roman" w:hAnsi="Times New Roman" w:eastAsia="仿宋_GB2312" w:cs="Times New Roman"/>
                <w:bCs/>
                <w:color w:val="FA7D00"/>
                <w:kern w:val="0"/>
                <w:sz w:val="22"/>
              </w:rPr>
            </w:pPr>
            <w:r>
              <w:rPr>
                <w:rFonts w:hint="default" w:ascii="Times New Roman" w:hAnsi="Times New Roman" w:eastAsia="仿宋_GB2312" w:cs="Times New Roman"/>
                <w:bCs/>
                <w:color w:val="FA7D00"/>
                <w:kern w:val="0"/>
                <w:sz w:val="22"/>
              </w:rPr>
              <w:t>大洋洲及太平洋岛屿</w:t>
            </w:r>
          </w:p>
        </w:tc>
        <w:tc>
          <w:tcPr>
            <w:tcW w:w="1560" w:type="dxa"/>
            <w:tcBorders>
              <w:top w:val="single" w:color="7F7F7F" w:sz="4" w:space="0"/>
              <w:left w:val="nil"/>
              <w:bottom w:val="single" w:color="7F7F7F" w:sz="4" w:space="0"/>
              <w:right w:val="single" w:color="7F7F7F" w:sz="4" w:space="0"/>
            </w:tcBorders>
            <w:shd w:val="clear" w:color="000000" w:fill="F2F2F2"/>
            <w:vAlign w:val="center"/>
          </w:tcPr>
          <w:p>
            <w:pPr>
              <w:widowControl/>
              <w:jc w:val="center"/>
              <w:rPr>
                <w:rFonts w:ascii="Times New Roman" w:hAnsi="Times New Roman" w:eastAsia="仿宋_GB2312" w:cs="Times New Roman"/>
                <w:bCs/>
                <w:color w:val="FA7D00"/>
                <w:kern w:val="0"/>
                <w:sz w:val="22"/>
              </w:rPr>
            </w:pPr>
            <w:r>
              <w:rPr>
                <w:rFonts w:hint="default" w:ascii="Times New Roman" w:hAnsi="Times New Roman" w:eastAsia="仿宋_GB2312" w:cs="Times New Roman"/>
                <w:bCs/>
                <w:color w:val="FA7D00"/>
                <w:kern w:val="0"/>
                <w:sz w:val="22"/>
              </w:rPr>
              <w:t>　</w:t>
            </w:r>
          </w:p>
        </w:tc>
        <w:tc>
          <w:tcPr>
            <w:tcW w:w="700" w:type="dxa"/>
            <w:tcBorders>
              <w:top w:val="single" w:color="7F7F7F" w:sz="4" w:space="0"/>
              <w:left w:val="nil"/>
              <w:bottom w:val="single" w:color="7F7F7F" w:sz="4" w:space="0"/>
              <w:right w:val="single" w:color="7F7F7F" w:sz="4" w:space="0"/>
            </w:tcBorders>
            <w:shd w:val="clear" w:color="000000" w:fill="F2F2F2"/>
            <w:vAlign w:val="center"/>
          </w:tcPr>
          <w:p>
            <w:pPr>
              <w:widowControl/>
              <w:jc w:val="left"/>
              <w:rPr>
                <w:rFonts w:ascii="Times New Roman" w:hAnsi="Times New Roman" w:eastAsia="仿宋_GB2312" w:cs="Times New Roman"/>
                <w:bCs/>
                <w:color w:val="FA7D00"/>
                <w:kern w:val="0"/>
                <w:sz w:val="22"/>
              </w:rPr>
            </w:pPr>
            <w:r>
              <w:rPr>
                <w:rFonts w:hint="default" w:ascii="Times New Roman" w:hAnsi="Times New Roman" w:eastAsia="仿宋_GB2312" w:cs="Times New Roman"/>
                <w:bCs/>
                <w:color w:val="FA7D00"/>
                <w:kern w:val="0"/>
                <w:sz w:val="22"/>
              </w:rPr>
              <w:t>　</w:t>
            </w:r>
          </w:p>
        </w:tc>
        <w:tc>
          <w:tcPr>
            <w:tcW w:w="940" w:type="dxa"/>
            <w:tcBorders>
              <w:top w:val="single" w:color="7F7F7F" w:sz="4" w:space="0"/>
              <w:left w:val="nil"/>
              <w:bottom w:val="single" w:color="7F7F7F" w:sz="4" w:space="0"/>
              <w:right w:val="single" w:color="7F7F7F" w:sz="4" w:space="0"/>
            </w:tcBorders>
            <w:shd w:val="clear" w:color="000000" w:fill="F2F2F2"/>
            <w:vAlign w:val="center"/>
          </w:tcPr>
          <w:p>
            <w:pPr>
              <w:widowControl/>
              <w:jc w:val="left"/>
              <w:rPr>
                <w:rFonts w:ascii="Times New Roman" w:hAnsi="Times New Roman" w:eastAsia="仿宋_GB2312" w:cs="Times New Roman"/>
                <w:bCs/>
                <w:color w:val="FA7D00"/>
                <w:kern w:val="0"/>
                <w:sz w:val="22"/>
              </w:rPr>
            </w:pPr>
            <w:r>
              <w:rPr>
                <w:rFonts w:hint="default" w:ascii="Times New Roman" w:hAnsi="Times New Roman" w:eastAsia="仿宋_GB2312" w:cs="Times New Roman"/>
                <w:bCs/>
                <w:color w:val="FA7D00"/>
                <w:kern w:val="0"/>
                <w:sz w:val="22"/>
              </w:rPr>
              <w:t>　</w:t>
            </w:r>
          </w:p>
        </w:tc>
        <w:tc>
          <w:tcPr>
            <w:tcW w:w="940" w:type="dxa"/>
            <w:tcBorders>
              <w:top w:val="single" w:color="7F7F7F" w:sz="4" w:space="0"/>
              <w:left w:val="nil"/>
              <w:bottom w:val="single" w:color="7F7F7F" w:sz="4" w:space="0"/>
              <w:right w:val="single" w:color="7F7F7F" w:sz="4" w:space="0"/>
            </w:tcBorders>
            <w:shd w:val="clear" w:color="000000" w:fill="F2F2F2"/>
            <w:vAlign w:val="center"/>
          </w:tcPr>
          <w:p>
            <w:pPr>
              <w:widowControl/>
              <w:jc w:val="left"/>
              <w:rPr>
                <w:rFonts w:ascii="Times New Roman" w:hAnsi="Times New Roman" w:eastAsia="仿宋_GB2312" w:cs="Times New Roman"/>
                <w:bCs/>
                <w:color w:val="FA7D00"/>
                <w:kern w:val="0"/>
                <w:sz w:val="22"/>
              </w:rPr>
            </w:pPr>
            <w:r>
              <w:rPr>
                <w:rFonts w:hint="default" w:ascii="Times New Roman" w:hAnsi="Times New Roman" w:eastAsia="仿宋_GB2312" w:cs="Times New Roman"/>
                <w:bCs/>
                <w:color w:val="FA7D00"/>
                <w:kern w:val="0"/>
                <w:sz w:val="22"/>
              </w:rPr>
              <w:t>　</w:t>
            </w:r>
          </w:p>
        </w:tc>
      </w:tr>
      <w:tr>
        <w:tblPrEx>
          <w:tblCellMar>
            <w:top w:w="0" w:type="dxa"/>
            <w:left w:w="108" w:type="dxa"/>
            <w:bottom w:w="0" w:type="dxa"/>
            <w:right w:w="108" w:type="dxa"/>
          </w:tblCellMar>
        </w:tblPrEx>
        <w:trPr>
          <w:trHeight w:val="27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274</w:t>
            </w:r>
          </w:p>
        </w:tc>
        <w:tc>
          <w:tcPr>
            <w:tcW w:w="256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澳大利亚</w:t>
            </w:r>
          </w:p>
        </w:tc>
        <w:tc>
          <w:tcPr>
            <w:tcW w:w="156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堪培拉</w:t>
            </w:r>
          </w:p>
        </w:tc>
        <w:tc>
          <w:tcPr>
            <w:tcW w:w="70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single" w:color="auto" w:sz="4" w:space="0"/>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210</w:t>
            </w:r>
          </w:p>
        </w:tc>
        <w:tc>
          <w:tcPr>
            <w:tcW w:w="940" w:type="dxa"/>
            <w:tcBorders>
              <w:top w:val="single" w:color="auto" w:sz="4" w:space="0"/>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60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275</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帕斯</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180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60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276</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布里斯班</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180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60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277</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墨尔本</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200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60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278</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悉尼</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200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60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279</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其他城市</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160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60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280</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新西兰</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180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60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281</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西萨摩亚</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170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47</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282</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斐济</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苏瓦</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190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283</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楠迪</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120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284</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其他城市</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110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285</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巴布亚新几内亚</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350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286</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密克罗尼西亚</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120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40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287</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马绍尔群岛</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120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288</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瓦努阿图</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220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289</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基里巴斯</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195</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55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290</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汤加</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160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60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291</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帕劳</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180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60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292</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库克群岛</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180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60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293</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所罗门群岛</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200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60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294</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法属留尼汪</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140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60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295</w:t>
            </w:r>
          </w:p>
        </w:tc>
        <w:tc>
          <w:tcPr>
            <w:tcW w:w="2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法属波利尼西亚</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　</w:t>
            </w:r>
          </w:p>
        </w:tc>
        <w:tc>
          <w:tcPr>
            <w:tcW w:w="7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美元</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240</w:t>
            </w:r>
          </w:p>
        </w:tc>
        <w:tc>
          <w:tcPr>
            <w:tcW w:w="940"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bCs/>
                <w:color w:val="000000"/>
                <w:kern w:val="0"/>
                <w:sz w:val="22"/>
              </w:rPr>
            </w:pPr>
            <w:r>
              <w:rPr>
                <w:rFonts w:hint="default" w:ascii="Times New Roman" w:hAnsi="Times New Roman" w:eastAsia="仿宋_GB2312" w:cs="Times New Roman"/>
                <w:bCs/>
                <w:color w:val="000000"/>
                <w:kern w:val="0"/>
                <w:sz w:val="22"/>
              </w:rPr>
              <w:t>60</w:t>
            </w:r>
          </w:p>
        </w:tc>
      </w:tr>
    </w:tbl>
    <w:p>
      <w:pPr>
        <w:pStyle w:val="2"/>
        <w:rPr>
          <w:rFonts w:ascii="Times New Roman" w:hAnsi="Times New Roman" w:eastAsia="仿宋_GB2312"/>
          <w:sz w:val="28"/>
          <w:szCs w:val="22"/>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8681787"/>
    </w:sdtPr>
    <w:sdtContent>
      <w:p>
        <w:pPr>
          <w:pStyle w:val="6"/>
          <w:jc w:val="center"/>
        </w:pPr>
        <w:r>
          <w:fldChar w:fldCharType="begin"/>
        </w:r>
        <w:r>
          <w:instrText xml:space="preserve">PAGE   \* MERGEFORMAT</w:instrText>
        </w:r>
        <w:r>
          <w:fldChar w:fldCharType="separate"/>
        </w:r>
        <w:r>
          <w:rPr>
            <w:lang w:val="zh-CN"/>
          </w:rPr>
          <w:t>15</w:t>
        </w:r>
        <w:r>
          <w:fldChar w:fldCharType="end"/>
        </w:r>
      </w:p>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outlineLvl w:val="2"/>
        <w:rPr>
          <w:rFonts w:hint="eastAsia" w:ascii="Times New Roman" w:hAnsi="Times New Roman" w:eastAsia="宋体" w:cs="Times New Roman"/>
          <w:kern w:val="2"/>
          <w:sz w:val="18"/>
          <w:szCs w:val="18"/>
          <w:lang w:val="en-US" w:eastAsia="zh-CN" w:bidi="ar-SA"/>
        </w:rPr>
      </w:pPr>
      <w:r>
        <w:rPr>
          <w:rStyle w:val="16"/>
        </w:rPr>
        <w:footnoteRef/>
      </w:r>
      <w:r>
        <w:rPr>
          <w:rFonts w:eastAsia="仿宋_GB2312"/>
          <w:bCs/>
          <w:kern w:val="0"/>
          <w:szCs w:val="32"/>
          <w:lang w:bidi="zh-CN"/>
        </w:rPr>
        <w:t>外</w:t>
      </w:r>
      <w:r>
        <w:rPr>
          <w:rFonts w:hint="eastAsia" w:ascii="Times New Roman" w:hAnsi="Times New Roman" w:eastAsia="宋体" w:cs="Times New Roman"/>
          <w:kern w:val="2"/>
          <w:sz w:val="18"/>
          <w:szCs w:val="18"/>
          <w:lang w:val="en-US" w:eastAsia="zh-CN" w:bidi="ar-SA"/>
        </w:rPr>
        <w:t>资及中外合资企业利用知识产权出资或增资的，知识产权应当依法进行评估作价，以确认知识产权的价值。财政部、国家知识产权局《关于加强知识产权资产评估管理工作若干问题的通知》第二条规定：“知识产权评估应当依法委托经财政部门批准设立的资产评估机构进行评估”。知识产权资产包括专利权、商标专用权、著作权、商业秘密、集成电路布图设计和植物新品种等。外商投资企业应聘请资产评估公司对知识产权进行价值评估。</w:t>
      </w:r>
    </w:p>
    <w:p>
      <w:pPr>
        <w:pStyle w:val="8"/>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2"/>
    <w:footnote w:id="3"/>
  </w:foot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1OWI4M2I5ZjNkNWZjNmY0MDJmNDQwMmJiNDQ0ZWYifQ=="/>
  </w:docVars>
  <w:rsids>
    <w:rsidRoot w:val="00FB46A5"/>
    <w:rsid w:val="00006DF6"/>
    <w:rsid w:val="0000707C"/>
    <w:rsid w:val="000132D3"/>
    <w:rsid w:val="00021BFC"/>
    <w:rsid w:val="00024615"/>
    <w:rsid w:val="000330F9"/>
    <w:rsid w:val="00047FE3"/>
    <w:rsid w:val="00066F9E"/>
    <w:rsid w:val="0008392A"/>
    <w:rsid w:val="000863B6"/>
    <w:rsid w:val="000955A3"/>
    <w:rsid w:val="000962C1"/>
    <w:rsid w:val="0009761D"/>
    <w:rsid w:val="000A5CBF"/>
    <w:rsid w:val="000A6609"/>
    <w:rsid w:val="000E071B"/>
    <w:rsid w:val="000E3DEE"/>
    <w:rsid w:val="000E62C3"/>
    <w:rsid w:val="000F60EE"/>
    <w:rsid w:val="00113A66"/>
    <w:rsid w:val="0011626F"/>
    <w:rsid w:val="0012258D"/>
    <w:rsid w:val="00125ADD"/>
    <w:rsid w:val="001273F6"/>
    <w:rsid w:val="00154970"/>
    <w:rsid w:val="00162C35"/>
    <w:rsid w:val="00164200"/>
    <w:rsid w:val="0018119C"/>
    <w:rsid w:val="00184FFE"/>
    <w:rsid w:val="0019208D"/>
    <w:rsid w:val="001A2CE3"/>
    <w:rsid w:val="001A710C"/>
    <w:rsid w:val="001C3074"/>
    <w:rsid w:val="001C797F"/>
    <w:rsid w:val="001D6EAB"/>
    <w:rsid w:val="001E6206"/>
    <w:rsid w:val="001F0EF3"/>
    <w:rsid w:val="00202704"/>
    <w:rsid w:val="00207105"/>
    <w:rsid w:val="00210A41"/>
    <w:rsid w:val="00215E9B"/>
    <w:rsid w:val="00217EE5"/>
    <w:rsid w:val="00235ED6"/>
    <w:rsid w:val="00271F66"/>
    <w:rsid w:val="0028118F"/>
    <w:rsid w:val="00282D89"/>
    <w:rsid w:val="00285ECB"/>
    <w:rsid w:val="00296891"/>
    <w:rsid w:val="002B11D7"/>
    <w:rsid w:val="002B17E4"/>
    <w:rsid w:val="002B30BA"/>
    <w:rsid w:val="002B466A"/>
    <w:rsid w:val="002B7E92"/>
    <w:rsid w:val="002C1FAC"/>
    <w:rsid w:val="002E2870"/>
    <w:rsid w:val="002E3BEA"/>
    <w:rsid w:val="002E4792"/>
    <w:rsid w:val="00332057"/>
    <w:rsid w:val="00335874"/>
    <w:rsid w:val="00336399"/>
    <w:rsid w:val="00343EE1"/>
    <w:rsid w:val="003477A4"/>
    <w:rsid w:val="00350000"/>
    <w:rsid w:val="003511F6"/>
    <w:rsid w:val="00352E50"/>
    <w:rsid w:val="00364D7B"/>
    <w:rsid w:val="003678AD"/>
    <w:rsid w:val="003707FF"/>
    <w:rsid w:val="00374719"/>
    <w:rsid w:val="00382608"/>
    <w:rsid w:val="00391133"/>
    <w:rsid w:val="003A52B9"/>
    <w:rsid w:val="003B2F36"/>
    <w:rsid w:val="003D3CEC"/>
    <w:rsid w:val="003E3C8F"/>
    <w:rsid w:val="003E6BF8"/>
    <w:rsid w:val="003F30B8"/>
    <w:rsid w:val="004137FF"/>
    <w:rsid w:val="004148C1"/>
    <w:rsid w:val="004208D0"/>
    <w:rsid w:val="00421E54"/>
    <w:rsid w:val="00424173"/>
    <w:rsid w:val="004272A4"/>
    <w:rsid w:val="00443959"/>
    <w:rsid w:val="004444C4"/>
    <w:rsid w:val="004478E9"/>
    <w:rsid w:val="004724E9"/>
    <w:rsid w:val="00473804"/>
    <w:rsid w:val="0047636E"/>
    <w:rsid w:val="00482D50"/>
    <w:rsid w:val="004855A9"/>
    <w:rsid w:val="004865CB"/>
    <w:rsid w:val="004913B5"/>
    <w:rsid w:val="00494EC6"/>
    <w:rsid w:val="004A21E2"/>
    <w:rsid w:val="004A5FC3"/>
    <w:rsid w:val="004A762D"/>
    <w:rsid w:val="004B37C3"/>
    <w:rsid w:val="004B3BCC"/>
    <w:rsid w:val="004C41F0"/>
    <w:rsid w:val="004D6955"/>
    <w:rsid w:val="004E15D7"/>
    <w:rsid w:val="004E3FB7"/>
    <w:rsid w:val="004F19E6"/>
    <w:rsid w:val="00505AFB"/>
    <w:rsid w:val="00514B8B"/>
    <w:rsid w:val="00514D63"/>
    <w:rsid w:val="00522FE9"/>
    <w:rsid w:val="00546C22"/>
    <w:rsid w:val="00551958"/>
    <w:rsid w:val="00561C43"/>
    <w:rsid w:val="00575A75"/>
    <w:rsid w:val="0058268D"/>
    <w:rsid w:val="00586BDC"/>
    <w:rsid w:val="00586F19"/>
    <w:rsid w:val="0059626D"/>
    <w:rsid w:val="00597751"/>
    <w:rsid w:val="005A772C"/>
    <w:rsid w:val="005B39AC"/>
    <w:rsid w:val="005B6F30"/>
    <w:rsid w:val="005C040A"/>
    <w:rsid w:val="005E15AB"/>
    <w:rsid w:val="005E6A4F"/>
    <w:rsid w:val="005E6FE1"/>
    <w:rsid w:val="005F1FD4"/>
    <w:rsid w:val="005F2BD4"/>
    <w:rsid w:val="005F46F7"/>
    <w:rsid w:val="005F5A5C"/>
    <w:rsid w:val="005F7C8D"/>
    <w:rsid w:val="00604023"/>
    <w:rsid w:val="006148A0"/>
    <w:rsid w:val="00616A9A"/>
    <w:rsid w:val="00621E4C"/>
    <w:rsid w:val="00623D65"/>
    <w:rsid w:val="00630E69"/>
    <w:rsid w:val="00631761"/>
    <w:rsid w:val="00633711"/>
    <w:rsid w:val="00635CD9"/>
    <w:rsid w:val="00642D03"/>
    <w:rsid w:val="00642E7A"/>
    <w:rsid w:val="006570B6"/>
    <w:rsid w:val="006623D4"/>
    <w:rsid w:val="00664150"/>
    <w:rsid w:val="006751F7"/>
    <w:rsid w:val="0068042B"/>
    <w:rsid w:val="00692566"/>
    <w:rsid w:val="00693FB4"/>
    <w:rsid w:val="006B5E1E"/>
    <w:rsid w:val="006C0252"/>
    <w:rsid w:val="007008E0"/>
    <w:rsid w:val="00727E03"/>
    <w:rsid w:val="007302CB"/>
    <w:rsid w:val="0073416A"/>
    <w:rsid w:val="0074515C"/>
    <w:rsid w:val="00750E53"/>
    <w:rsid w:val="007616C7"/>
    <w:rsid w:val="007631C4"/>
    <w:rsid w:val="00766607"/>
    <w:rsid w:val="007812DA"/>
    <w:rsid w:val="007863C4"/>
    <w:rsid w:val="0079066F"/>
    <w:rsid w:val="007B40DD"/>
    <w:rsid w:val="007B42AA"/>
    <w:rsid w:val="007D7AD8"/>
    <w:rsid w:val="007E4BE8"/>
    <w:rsid w:val="007E5C4C"/>
    <w:rsid w:val="007E7553"/>
    <w:rsid w:val="007F0D4D"/>
    <w:rsid w:val="00806BF9"/>
    <w:rsid w:val="00827DAE"/>
    <w:rsid w:val="00852F02"/>
    <w:rsid w:val="008617E2"/>
    <w:rsid w:val="008661B4"/>
    <w:rsid w:val="00871478"/>
    <w:rsid w:val="00873B71"/>
    <w:rsid w:val="00883C96"/>
    <w:rsid w:val="008A102F"/>
    <w:rsid w:val="008B23C6"/>
    <w:rsid w:val="008C04D1"/>
    <w:rsid w:val="008C06E1"/>
    <w:rsid w:val="008C2161"/>
    <w:rsid w:val="008C2684"/>
    <w:rsid w:val="008D2AAC"/>
    <w:rsid w:val="008E1BD1"/>
    <w:rsid w:val="008E2F4F"/>
    <w:rsid w:val="00910183"/>
    <w:rsid w:val="00911C5F"/>
    <w:rsid w:val="00915F02"/>
    <w:rsid w:val="009270BA"/>
    <w:rsid w:val="00931580"/>
    <w:rsid w:val="009330AB"/>
    <w:rsid w:val="00935809"/>
    <w:rsid w:val="00936A3C"/>
    <w:rsid w:val="00950430"/>
    <w:rsid w:val="00951485"/>
    <w:rsid w:val="009521C7"/>
    <w:rsid w:val="0095273B"/>
    <w:rsid w:val="00953193"/>
    <w:rsid w:val="00957AF8"/>
    <w:rsid w:val="00963634"/>
    <w:rsid w:val="009844C6"/>
    <w:rsid w:val="009958C1"/>
    <w:rsid w:val="009960E0"/>
    <w:rsid w:val="009A7E9E"/>
    <w:rsid w:val="009B4E7C"/>
    <w:rsid w:val="009C1D74"/>
    <w:rsid w:val="009C1F7B"/>
    <w:rsid w:val="009D213F"/>
    <w:rsid w:val="009D28C2"/>
    <w:rsid w:val="009D7461"/>
    <w:rsid w:val="00A02D8C"/>
    <w:rsid w:val="00A213B9"/>
    <w:rsid w:val="00A223F4"/>
    <w:rsid w:val="00A2629C"/>
    <w:rsid w:val="00A26F71"/>
    <w:rsid w:val="00A321FD"/>
    <w:rsid w:val="00A4306C"/>
    <w:rsid w:val="00A471DF"/>
    <w:rsid w:val="00A5047C"/>
    <w:rsid w:val="00A57D84"/>
    <w:rsid w:val="00A6277D"/>
    <w:rsid w:val="00A7046E"/>
    <w:rsid w:val="00A97A6E"/>
    <w:rsid w:val="00AA7BBA"/>
    <w:rsid w:val="00AB10BB"/>
    <w:rsid w:val="00AC4ED6"/>
    <w:rsid w:val="00AD0A7A"/>
    <w:rsid w:val="00AE0F47"/>
    <w:rsid w:val="00AE14FF"/>
    <w:rsid w:val="00AF1CA3"/>
    <w:rsid w:val="00B05841"/>
    <w:rsid w:val="00B1228D"/>
    <w:rsid w:val="00B32613"/>
    <w:rsid w:val="00B332C3"/>
    <w:rsid w:val="00B403AF"/>
    <w:rsid w:val="00B4570A"/>
    <w:rsid w:val="00B46665"/>
    <w:rsid w:val="00B66397"/>
    <w:rsid w:val="00B71D75"/>
    <w:rsid w:val="00B97FF3"/>
    <w:rsid w:val="00BA0AF0"/>
    <w:rsid w:val="00BA4F1E"/>
    <w:rsid w:val="00BC5C44"/>
    <w:rsid w:val="00BD1642"/>
    <w:rsid w:val="00BE1545"/>
    <w:rsid w:val="00BE1BC3"/>
    <w:rsid w:val="00BE2880"/>
    <w:rsid w:val="00BF5E17"/>
    <w:rsid w:val="00BF6CBE"/>
    <w:rsid w:val="00C00B77"/>
    <w:rsid w:val="00C01DCA"/>
    <w:rsid w:val="00C02050"/>
    <w:rsid w:val="00C058BE"/>
    <w:rsid w:val="00C05CE7"/>
    <w:rsid w:val="00C24990"/>
    <w:rsid w:val="00C31A0B"/>
    <w:rsid w:val="00C37E21"/>
    <w:rsid w:val="00C44336"/>
    <w:rsid w:val="00C51048"/>
    <w:rsid w:val="00C639BC"/>
    <w:rsid w:val="00C64E1B"/>
    <w:rsid w:val="00C714C8"/>
    <w:rsid w:val="00C748DB"/>
    <w:rsid w:val="00C74D06"/>
    <w:rsid w:val="00C7652D"/>
    <w:rsid w:val="00CA19F1"/>
    <w:rsid w:val="00CA601D"/>
    <w:rsid w:val="00CB1787"/>
    <w:rsid w:val="00CB41B7"/>
    <w:rsid w:val="00CB6352"/>
    <w:rsid w:val="00CB6895"/>
    <w:rsid w:val="00CE2CCF"/>
    <w:rsid w:val="00CE330B"/>
    <w:rsid w:val="00CE6A54"/>
    <w:rsid w:val="00CF2325"/>
    <w:rsid w:val="00CF5C69"/>
    <w:rsid w:val="00CF7EDF"/>
    <w:rsid w:val="00D12160"/>
    <w:rsid w:val="00D201FD"/>
    <w:rsid w:val="00D242EE"/>
    <w:rsid w:val="00D40B8A"/>
    <w:rsid w:val="00D54363"/>
    <w:rsid w:val="00D81AF3"/>
    <w:rsid w:val="00D84B21"/>
    <w:rsid w:val="00D84E0E"/>
    <w:rsid w:val="00D91F29"/>
    <w:rsid w:val="00DA0DF0"/>
    <w:rsid w:val="00DA30B8"/>
    <w:rsid w:val="00DA4DA6"/>
    <w:rsid w:val="00DA6428"/>
    <w:rsid w:val="00DB0095"/>
    <w:rsid w:val="00DC1990"/>
    <w:rsid w:val="00DC4E5E"/>
    <w:rsid w:val="00DC6730"/>
    <w:rsid w:val="00DD1FEB"/>
    <w:rsid w:val="00DD5643"/>
    <w:rsid w:val="00DD7B19"/>
    <w:rsid w:val="00DE0730"/>
    <w:rsid w:val="00DE4010"/>
    <w:rsid w:val="00DF0A04"/>
    <w:rsid w:val="00E05D02"/>
    <w:rsid w:val="00E10670"/>
    <w:rsid w:val="00E114B3"/>
    <w:rsid w:val="00E12337"/>
    <w:rsid w:val="00E1450A"/>
    <w:rsid w:val="00E204B0"/>
    <w:rsid w:val="00E570A8"/>
    <w:rsid w:val="00E6096F"/>
    <w:rsid w:val="00E72EB8"/>
    <w:rsid w:val="00E900BA"/>
    <w:rsid w:val="00EA1303"/>
    <w:rsid w:val="00EA4D09"/>
    <w:rsid w:val="00EB08B4"/>
    <w:rsid w:val="00EC0D91"/>
    <w:rsid w:val="00EC606E"/>
    <w:rsid w:val="00EC6C04"/>
    <w:rsid w:val="00EC6C2D"/>
    <w:rsid w:val="00ED2ACD"/>
    <w:rsid w:val="00ED67D0"/>
    <w:rsid w:val="00ED70C1"/>
    <w:rsid w:val="00EE4CA7"/>
    <w:rsid w:val="00EF2E36"/>
    <w:rsid w:val="00EF35D5"/>
    <w:rsid w:val="00EF5BA2"/>
    <w:rsid w:val="00F00D2F"/>
    <w:rsid w:val="00F01748"/>
    <w:rsid w:val="00F01B13"/>
    <w:rsid w:val="00F11FBA"/>
    <w:rsid w:val="00F21159"/>
    <w:rsid w:val="00F21304"/>
    <w:rsid w:val="00F2446D"/>
    <w:rsid w:val="00F2593F"/>
    <w:rsid w:val="00F31184"/>
    <w:rsid w:val="00F439B8"/>
    <w:rsid w:val="00F45AE9"/>
    <w:rsid w:val="00F540AF"/>
    <w:rsid w:val="00F64B69"/>
    <w:rsid w:val="00F844E1"/>
    <w:rsid w:val="00F95BD4"/>
    <w:rsid w:val="00FA123D"/>
    <w:rsid w:val="00FB46A5"/>
    <w:rsid w:val="00FC3232"/>
    <w:rsid w:val="00FD5887"/>
    <w:rsid w:val="00FE324E"/>
    <w:rsid w:val="012C6AE4"/>
    <w:rsid w:val="0136667C"/>
    <w:rsid w:val="01696696"/>
    <w:rsid w:val="017B6A03"/>
    <w:rsid w:val="01944054"/>
    <w:rsid w:val="01EA102D"/>
    <w:rsid w:val="01EC44CA"/>
    <w:rsid w:val="03215DBB"/>
    <w:rsid w:val="045E41BC"/>
    <w:rsid w:val="045F4DED"/>
    <w:rsid w:val="055B6817"/>
    <w:rsid w:val="062956B3"/>
    <w:rsid w:val="06874F77"/>
    <w:rsid w:val="08A4231F"/>
    <w:rsid w:val="097D2114"/>
    <w:rsid w:val="09B515FF"/>
    <w:rsid w:val="0B114967"/>
    <w:rsid w:val="0B2F3F4F"/>
    <w:rsid w:val="0CC03159"/>
    <w:rsid w:val="0CC46135"/>
    <w:rsid w:val="0CDB26EA"/>
    <w:rsid w:val="0D880BCD"/>
    <w:rsid w:val="0DA224DC"/>
    <w:rsid w:val="0E012A71"/>
    <w:rsid w:val="0EEC3721"/>
    <w:rsid w:val="0EED4626"/>
    <w:rsid w:val="0F6F0C17"/>
    <w:rsid w:val="0F824086"/>
    <w:rsid w:val="0FB20552"/>
    <w:rsid w:val="103B3E0D"/>
    <w:rsid w:val="103C5FE2"/>
    <w:rsid w:val="10507CDD"/>
    <w:rsid w:val="109B7B06"/>
    <w:rsid w:val="11AC53EA"/>
    <w:rsid w:val="124D44D7"/>
    <w:rsid w:val="125A6BF4"/>
    <w:rsid w:val="12EA61CA"/>
    <w:rsid w:val="13DA64B2"/>
    <w:rsid w:val="13E06DE0"/>
    <w:rsid w:val="14E804E7"/>
    <w:rsid w:val="156F138F"/>
    <w:rsid w:val="15BA0A6F"/>
    <w:rsid w:val="15F86E50"/>
    <w:rsid w:val="15FA0957"/>
    <w:rsid w:val="178F10EE"/>
    <w:rsid w:val="17BE19D3"/>
    <w:rsid w:val="189D733C"/>
    <w:rsid w:val="19467ED2"/>
    <w:rsid w:val="1AF206B6"/>
    <w:rsid w:val="1B183065"/>
    <w:rsid w:val="1B4A1EFB"/>
    <w:rsid w:val="1BA57132"/>
    <w:rsid w:val="1C512E16"/>
    <w:rsid w:val="1C5E19D8"/>
    <w:rsid w:val="1CD221A8"/>
    <w:rsid w:val="1CF814E3"/>
    <w:rsid w:val="1CFC34C1"/>
    <w:rsid w:val="1E0565AE"/>
    <w:rsid w:val="1E207D37"/>
    <w:rsid w:val="1E3429EF"/>
    <w:rsid w:val="1E594203"/>
    <w:rsid w:val="1E62755C"/>
    <w:rsid w:val="1EEB468C"/>
    <w:rsid w:val="1F204D21"/>
    <w:rsid w:val="20CA3197"/>
    <w:rsid w:val="2251684F"/>
    <w:rsid w:val="233E1464"/>
    <w:rsid w:val="24AB426F"/>
    <w:rsid w:val="25145328"/>
    <w:rsid w:val="25FD7B6A"/>
    <w:rsid w:val="26864004"/>
    <w:rsid w:val="272A0E33"/>
    <w:rsid w:val="27587B2E"/>
    <w:rsid w:val="288D66E5"/>
    <w:rsid w:val="29090661"/>
    <w:rsid w:val="294E750F"/>
    <w:rsid w:val="29B6075C"/>
    <w:rsid w:val="29BD5F8E"/>
    <w:rsid w:val="29F55728"/>
    <w:rsid w:val="2AF97294"/>
    <w:rsid w:val="2B370CB7"/>
    <w:rsid w:val="2B473D61"/>
    <w:rsid w:val="2C4D2F2B"/>
    <w:rsid w:val="2C7A1F81"/>
    <w:rsid w:val="2D393CB8"/>
    <w:rsid w:val="2D9D235F"/>
    <w:rsid w:val="2DFA5898"/>
    <w:rsid w:val="2F46633B"/>
    <w:rsid w:val="2FA0491B"/>
    <w:rsid w:val="2FB219C5"/>
    <w:rsid w:val="2FF94D8C"/>
    <w:rsid w:val="304408C8"/>
    <w:rsid w:val="30850E88"/>
    <w:rsid w:val="31C874B4"/>
    <w:rsid w:val="31F12C79"/>
    <w:rsid w:val="328C29A2"/>
    <w:rsid w:val="331C3D26"/>
    <w:rsid w:val="335207F9"/>
    <w:rsid w:val="336E5337"/>
    <w:rsid w:val="33A5601F"/>
    <w:rsid w:val="33C66341"/>
    <w:rsid w:val="33FF54B4"/>
    <w:rsid w:val="346F257B"/>
    <w:rsid w:val="34A10BC8"/>
    <w:rsid w:val="353C420B"/>
    <w:rsid w:val="35C97A69"/>
    <w:rsid w:val="35D42696"/>
    <w:rsid w:val="36037FF4"/>
    <w:rsid w:val="371A32BC"/>
    <w:rsid w:val="39017F02"/>
    <w:rsid w:val="39822409"/>
    <w:rsid w:val="3A4332A8"/>
    <w:rsid w:val="3AD10812"/>
    <w:rsid w:val="3AFB4FAB"/>
    <w:rsid w:val="3B0D7033"/>
    <w:rsid w:val="3B0F3E53"/>
    <w:rsid w:val="3B122ECE"/>
    <w:rsid w:val="3BB86527"/>
    <w:rsid w:val="3BBE3CFC"/>
    <w:rsid w:val="3BD50EE5"/>
    <w:rsid w:val="3C887535"/>
    <w:rsid w:val="3CE74CBC"/>
    <w:rsid w:val="3D223E6C"/>
    <w:rsid w:val="3D7D1865"/>
    <w:rsid w:val="3DF615EB"/>
    <w:rsid w:val="3F7C74AF"/>
    <w:rsid w:val="3F892743"/>
    <w:rsid w:val="40155D85"/>
    <w:rsid w:val="407222E7"/>
    <w:rsid w:val="40747AD3"/>
    <w:rsid w:val="41354E1F"/>
    <w:rsid w:val="418201AB"/>
    <w:rsid w:val="41CE2D53"/>
    <w:rsid w:val="420100F0"/>
    <w:rsid w:val="42E83C24"/>
    <w:rsid w:val="42F11870"/>
    <w:rsid w:val="43EB4840"/>
    <w:rsid w:val="443B7D84"/>
    <w:rsid w:val="44757170"/>
    <w:rsid w:val="457277D5"/>
    <w:rsid w:val="460A2104"/>
    <w:rsid w:val="467557CF"/>
    <w:rsid w:val="469043B7"/>
    <w:rsid w:val="46935C55"/>
    <w:rsid w:val="475A07FA"/>
    <w:rsid w:val="477535AD"/>
    <w:rsid w:val="482E18D2"/>
    <w:rsid w:val="48CC21DC"/>
    <w:rsid w:val="490B3178"/>
    <w:rsid w:val="4944592C"/>
    <w:rsid w:val="49A21420"/>
    <w:rsid w:val="49EB1B0F"/>
    <w:rsid w:val="4AA3727F"/>
    <w:rsid w:val="4ABB39CC"/>
    <w:rsid w:val="4B920BD1"/>
    <w:rsid w:val="4B9C37FE"/>
    <w:rsid w:val="4C4D68A6"/>
    <w:rsid w:val="4CF51883"/>
    <w:rsid w:val="4D262023"/>
    <w:rsid w:val="4D3FF47B"/>
    <w:rsid w:val="4D92310A"/>
    <w:rsid w:val="4E290F66"/>
    <w:rsid w:val="4E3346B3"/>
    <w:rsid w:val="4E501AEF"/>
    <w:rsid w:val="4E915170"/>
    <w:rsid w:val="4EE94590"/>
    <w:rsid w:val="4F4421E2"/>
    <w:rsid w:val="4FA8359A"/>
    <w:rsid w:val="4FBF70EE"/>
    <w:rsid w:val="4FD115FF"/>
    <w:rsid w:val="4FF36660"/>
    <w:rsid w:val="503E1327"/>
    <w:rsid w:val="50FD3C12"/>
    <w:rsid w:val="514364CA"/>
    <w:rsid w:val="53730929"/>
    <w:rsid w:val="538F59F6"/>
    <w:rsid w:val="53B907E4"/>
    <w:rsid w:val="541505F1"/>
    <w:rsid w:val="54832C1C"/>
    <w:rsid w:val="54D96032"/>
    <w:rsid w:val="55061CE8"/>
    <w:rsid w:val="550A5C7C"/>
    <w:rsid w:val="55222FC6"/>
    <w:rsid w:val="558E065B"/>
    <w:rsid w:val="573E74AA"/>
    <w:rsid w:val="57961A49"/>
    <w:rsid w:val="589F0800"/>
    <w:rsid w:val="58EB2E7D"/>
    <w:rsid w:val="590824D3"/>
    <w:rsid w:val="59441031"/>
    <w:rsid w:val="59480B21"/>
    <w:rsid w:val="595465B7"/>
    <w:rsid w:val="59965D30"/>
    <w:rsid w:val="5AB81CD6"/>
    <w:rsid w:val="5AF30D97"/>
    <w:rsid w:val="5DC170F4"/>
    <w:rsid w:val="5DDC4339"/>
    <w:rsid w:val="5DF748C4"/>
    <w:rsid w:val="5EAF519E"/>
    <w:rsid w:val="5EC450EE"/>
    <w:rsid w:val="5ED05841"/>
    <w:rsid w:val="5F357D99"/>
    <w:rsid w:val="5FF732A1"/>
    <w:rsid w:val="60A07495"/>
    <w:rsid w:val="613C29A1"/>
    <w:rsid w:val="614F53D4"/>
    <w:rsid w:val="61B03707"/>
    <w:rsid w:val="61CC1FC9"/>
    <w:rsid w:val="61D90E17"/>
    <w:rsid w:val="61EF7766"/>
    <w:rsid w:val="630E685B"/>
    <w:rsid w:val="63146B0B"/>
    <w:rsid w:val="636D42B5"/>
    <w:rsid w:val="637F5A87"/>
    <w:rsid w:val="639E415F"/>
    <w:rsid w:val="642F125B"/>
    <w:rsid w:val="648C220A"/>
    <w:rsid w:val="64D468AD"/>
    <w:rsid w:val="64EF09EB"/>
    <w:rsid w:val="64FD6C64"/>
    <w:rsid w:val="654A79CF"/>
    <w:rsid w:val="6651128C"/>
    <w:rsid w:val="676E3E49"/>
    <w:rsid w:val="6810790A"/>
    <w:rsid w:val="685A5387"/>
    <w:rsid w:val="688D6550"/>
    <w:rsid w:val="69201173"/>
    <w:rsid w:val="694C01BA"/>
    <w:rsid w:val="6958090C"/>
    <w:rsid w:val="696C2554"/>
    <w:rsid w:val="698C4A5A"/>
    <w:rsid w:val="6BB81B36"/>
    <w:rsid w:val="6BB8314C"/>
    <w:rsid w:val="6BB87D88"/>
    <w:rsid w:val="6BD55A96"/>
    <w:rsid w:val="6C0C19F8"/>
    <w:rsid w:val="6C1052FE"/>
    <w:rsid w:val="6D0914F3"/>
    <w:rsid w:val="6D4D7697"/>
    <w:rsid w:val="6DE9247B"/>
    <w:rsid w:val="6E9248C1"/>
    <w:rsid w:val="6EAB1BF3"/>
    <w:rsid w:val="6EB011EB"/>
    <w:rsid w:val="6EBE1CCD"/>
    <w:rsid w:val="6F255735"/>
    <w:rsid w:val="6F501CC6"/>
    <w:rsid w:val="701B6B38"/>
    <w:rsid w:val="70786FFD"/>
    <w:rsid w:val="708579F8"/>
    <w:rsid w:val="70BC3F27"/>
    <w:rsid w:val="712D6B22"/>
    <w:rsid w:val="71494246"/>
    <w:rsid w:val="715F60DD"/>
    <w:rsid w:val="7169291A"/>
    <w:rsid w:val="72367C59"/>
    <w:rsid w:val="725513A7"/>
    <w:rsid w:val="72C45265"/>
    <w:rsid w:val="73114357"/>
    <w:rsid w:val="73405C4A"/>
    <w:rsid w:val="743E1788"/>
    <w:rsid w:val="74724197"/>
    <w:rsid w:val="749E5641"/>
    <w:rsid w:val="74FE3A98"/>
    <w:rsid w:val="751D3BDE"/>
    <w:rsid w:val="75D91F21"/>
    <w:rsid w:val="76D10C67"/>
    <w:rsid w:val="76E13E20"/>
    <w:rsid w:val="77F5E2D6"/>
    <w:rsid w:val="77F9775E"/>
    <w:rsid w:val="788C2381"/>
    <w:rsid w:val="78BE62B2"/>
    <w:rsid w:val="78EA0422"/>
    <w:rsid w:val="7985321B"/>
    <w:rsid w:val="7A8118CB"/>
    <w:rsid w:val="7B6A2721"/>
    <w:rsid w:val="7BD06A28"/>
    <w:rsid w:val="7BEDB43C"/>
    <w:rsid w:val="7BF870E4"/>
    <w:rsid w:val="7CA04644"/>
    <w:rsid w:val="7CC85951"/>
    <w:rsid w:val="7E97161A"/>
    <w:rsid w:val="7EBFADB5"/>
    <w:rsid w:val="7ED30B18"/>
    <w:rsid w:val="7ED93E46"/>
    <w:rsid w:val="7EE50A3C"/>
    <w:rsid w:val="7FC06DB4"/>
    <w:rsid w:val="7FFE6452"/>
    <w:rsid w:val="B66DD13A"/>
    <w:rsid w:val="CF6DC5E9"/>
    <w:rsid w:val="CFF580EE"/>
    <w:rsid w:val="CFFB4C08"/>
    <w:rsid w:val="DB7D39C6"/>
    <w:rsid w:val="DF73BD93"/>
    <w:rsid w:val="EB87C46D"/>
    <w:rsid w:val="EFFBD5C2"/>
    <w:rsid w:val="F77F7C5E"/>
    <w:rsid w:val="FAD27EFA"/>
    <w:rsid w:val="FD92A8AE"/>
    <w:rsid w:val="FEFF12C5"/>
    <w:rsid w:val="FFAF0ECC"/>
    <w:rsid w:val="FFE73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w:basedOn w:val="1"/>
    <w:link w:val="19"/>
    <w:qFormat/>
    <w:uiPriority w:val="0"/>
    <w:pPr>
      <w:spacing w:after="120"/>
    </w:pPr>
    <w:rPr>
      <w:rFonts w:ascii="Calibri" w:hAnsi="Calibri"/>
    </w:rPr>
  </w:style>
  <w:style w:type="paragraph" w:styleId="4">
    <w:name w:val="Date"/>
    <w:basedOn w:val="1"/>
    <w:next w:val="1"/>
    <w:link w:val="22"/>
    <w:qFormat/>
    <w:uiPriority w:val="0"/>
    <w:rPr>
      <w:szCs w:val="20"/>
    </w:rPr>
  </w:style>
  <w:style w:type="paragraph" w:styleId="5">
    <w:name w:val="Balloon Text"/>
    <w:basedOn w:val="1"/>
    <w:link w:val="20"/>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footnote text"/>
    <w:basedOn w:val="1"/>
    <w:unhideWhenUsed/>
    <w:qFormat/>
    <w:uiPriority w:val="0"/>
    <w:pPr>
      <w:snapToGrid w:val="0"/>
      <w:jc w:val="left"/>
    </w:pPr>
    <w:rPr>
      <w:sz w:val="18"/>
      <w:szCs w:val="18"/>
    </w:rPr>
  </w:style>
  <w:style w:type="paragraph" w:styleId="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99"/>
    <w:pPr>
      <w:widowControl/>
      <w:spacing w:before="100" w:beforeAutospacing="1" w:after="100" w:afterAutospacing="1"/>
      <w:jc w:val="left"/>
    </w:pPr>
    <w:rPr>
      <w:rFonts w:ascii="宋体" w:hAnsi="宋体" w:cs="宋体"/>
      <w:color w:val="000000"/>
      <w:kern w:val="0"/>
      <w:sz w:val="24"/>
      <w:szCs w:val="24"/>
    </w:rPr>
  </w:style>
  <w:style w:type="character" w:styleId="13">
    <w:name w:val="Strong"/>
    <w:basedOn w:val="12"/>
    <w:qFormat/>
    <w:uiPriority w:val="22"/>
    <w:rPr>
      <w:b/>
      <w:bCs/>
    </w:rPr>
  </w:style>
  <w:style w:type="character" w:styleId="14">
    <w:name w:val="page number"/>
    <w:unhideWhenUsed/>
    <w:qFormat/>
    <w:uiPriority w:val="99"/>
    <w:rPr>
      <w:rFonts w:cs="Times New Roman"/>
    </w:rPr>
  </w:style>
  <w:style w:type="character" w:styleId="15">
    <w:name w:val="Hyperlink"/>
    <w:basedOn w:val="12"/>
    <w:unhideWhenUsed/>
    <w:qFormat/>
    <w:uiPriority w:val="99"/>
    <w:rPr>
      <w:color w:val="0000FF" w:themeColor="hyperlink"/>
      <w:u w:val="single"/>
      <w14:textFill>
        <w14:solidFill>
          <w14:schemeClr w14:val="hlink"/>
        </w14:solidFill>
      </w14:textFill>
    </w:rPr>
  </w:style>
  <w:style w:type="character" w:styleId="16">
    <w:name w:val="footnote reference"/>
    <w:basedOn w:val="12"/>
    <w:unhideWhenUsed/>
    <w:qFormat/>
    <w:uiPriority w:val="0"/>
    <w:rPr>
      <w:vertAlign w:val="superscript"/>
    </w:rPr>
  </w:style>
  <w:style w:type="character" w:customStyle="1" w:styleId="17">
    <w:name w:val="页眉 字符"/>
    <w:basedOn w:val="12"/>
    <w:link w:val="7"/>
    <w:qFormat/>
    <w:uiPriority w:val="99"/>
    <w:rPr>
      <w:sz w:val="18"/>
      <w:szCs w:val="18"/>
    </w:rPr>
  </w:style>
  <w:style w:type="character" w:customStyle="1" w:styleId="18">
    <w:name w:val="页脚 字符"/>
    <w:basedOn w:val="12"/>
    <w:link w:val="6"/>
    <w:qFormat/>
    <w:uiPriority w:val="99"/>
    <w:rPr>
      <w:sz w:val="18"/>
      <w:szCs w:val="18"/>
    </w:rPr>
  </w:style>
  <w:style w:type="character" w:customStyle="1" w:styleId="19">
    <w:name w:val="正文文本 字符"/>
    <w:basedOn w:val="12"/>
    <w:link w:val="2"/>
    <w:qFormat/>
    <w:uiPriority w:val="0"/>
    <w:rPr>
      <w:rFonts w:ascii="Calibri" w:hAnsi="Calibri" w:eastAsia="宋体" w:cs="Times New Roman"/>
      <w:szCs w:val="21"/>
    </w:rPr>
  </w:style>
  <w:style w:type="character" w:customStyle="1" w:styleId="20">
    <w:name w:val="批注框文本 字符"/>
    <w:basedOn w:val="12"/>
    <w:link w:val="5"/>
    <w:semiHidden/>
    <w:qFormat/>
    <w:uiPriority w:val="99"/>
    <w:rPr>
      <w:rFonts w:ascii="Times New Roman" w:hAnsi="Times New Roman" w:eastAsia="宋体" w:cs="Times New Roman"/>
      <w:sz w:val="18"/>
      <w:szCs w:val="18"/>
    </w:rPr>
  </w:style>
  <w:style w:type="character" w:customStyle="1" w:styleId="21">
    <w:name w:val="标题 1 字符"/>
    <w:basedOn w:val="12"/>
    <w:link w:val="3"/>
    <w:qFormat/>
    <w:uiPriority w:val="9"/>
    <w:rPr>
      <w:rFonts w:ascii="宋体" w:hAnsi="宋体" w:eastAsia="宋体" w:cs="宋体"/>
      <w:b/>
      <w:bCs/>
      <w:kern w:val="36"/>
      <w:sz w:val="48"/>
      <w:szCs w:val="48"/>
    </w:rPr>
  </w:style>
  <w:style w:type="character" w:customStyle="1" w:styleId="22">
    <w:name w:val="日期 字符"/>
    <w:basedOn w:val="12"/>
    <w:link w:val="4"/>
    <w:qFormat/>
    <w:uiPriority w:val="0"/>
    <w:rPr>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59</Pages>
  <Words>3712</Words>
  <Characters>21162</Characters>
  <Lines>176</Lines>
  <Paragraphs>49</Paragraphs>
  <TotalTime>33</TotalTime>
  <ScaleCrop>false</ScaleCrop>
  <LinksUpToDate>false</LinksUpToDate>
  <CharactersWithSpaces>24825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2021-06-30T18:48:00Z</dcterms:created>
  <dc:creator>Administrator</dc:creator>
  <cp:lastModifiedBy>ht706</cp:lastModifiedBy>
  <dcterms:modified xsi:type="dcterms:W3CDTF">2025-05-12T14:57:00Z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73198722008D41D2AC3FDD0C57129C91_13</vt:lpwstr>
  </property>
</Properties>
</file>