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738C" w14:textId="77777777" w:rsidR="00D466E8" w:rsidRDefault="00000000">
      <w:pPr>
        <w:pStyle w:val="a6"/>
        <w:spacing w:line="600" w:lineRule="exact"/>
        <w:jc w:val="left"/>
        <w:rPr>
          <w:rFonts w:ascii="黑体" w:eastAsia="黑体" w:hAnsi="黑体" w:cs="黑体" w:hint="eastAsia"/>
          <w:sz w:val="32"/>
          <w:szCs w:val="32"/>
        </w:rPr>
      </w:pPr>
      <w:bookmarkStart w:id="0" w:name="_Hlk192260597"/>
      <w:r>
        <w:rPr>
          <w:rFonts w:ascii="黑体" w:eastAsia="黑体" w:hAnsi="黑体" w:cs="黑体" w:hint="eastAsia"/>
          <w:sz w:val="32"/>
          <w:szCs w:val="32"/>
        </w:rPr>
        <w:t>附件2：</w:t>
      </w:r>
    </w:p>
    <w:p w14:paraId="6B5B81D9" w14:textId="77777777" w:rsidR="00D466E8" w:rsidRDefault="00D466E8">
      <w:pPr>
        <w:pStyle w:val="a6"/>
        <w:spacing w:line="600" w:lineRule="exact"/>
        <w:jc w:val="left"/>
        <w:rPr>
          <w:rFonts w:ascii="黑体" w:eastAsia="黑体" w:hAnsi="黑体" w:cs="黑体" w:hint="eastAsia"/>
          <w:sz w:val="32"/>
          <w:szCs w:val="32"/>
        </w:rPr>
      </w:pPr>
    </w:p>
    <w:p w14:paraId="30914051" w14:textId="77777777" w:rsidR="00D466E8" w:rsidRDefault="00000000">
      <w:pPr>
        <w:spacing w:after="0" w:line="600" w:lineRule="exact"/>
        <w:jc w:val="center"/>
        <w:rPr>
          <w:rFonts w:ascii="方正小标宋简体" w:eastAsia="方正小标宋简体" w:hAnsi="方正小标宋简体" w:cs="方正小标宋简体" w:hint="eastAsia"/>
          <w:spacing w:val="-11"/>
          <w:sz w:val="44"/>
          <w:szCs w:val="44"/>
        </w:rPr>
      </w:pPr>
      <w:bookmarkStart w:id="1" w:name="OLE_LINK1"/>
      <w:r>
        <w:rPr>
          <w:rFonts w:ascii="方正小标宋简体" w:eastAsia="方正小标宋简体" w:hAnsi="方正小标宋简体" w:cs="方正小标宋简体"/>
          <w:spacing w:val="-11"/>
          <w:sz w:val="44"/>
          <w:szCs w:val="44"/>
        </w:rPr>
        <w:t>《</w:t>
      </w:r>
      <w:r>
        <w:rPr>
          <w:rFonts w:ascii="方正小标宋简体" w:eastAsia="方正小标宋简体" w:hAnsi="方正小标宋简体" w:cs="方正小标宋简体" w:hint="eastAsia"/>
          <w:spacing w:val="-11"/>
          <w:sz w:val="44"/>
          <w:szCs w:val="44"/>
        </w:rPr>
        <w:t>关于加快现代金融产业高质量发展 促进金融领域“两区”建设的暂行措施（征求意见稿）》</w:t>
      </w:r>
    </w:p>
    <w:p w14:paraId="4F5D3F36" w14:textId="77777777" w:rsidR="00D466E8" w:rsidRDefault="00000000">
      <w:pPr>
        <w:spacing w:after="0"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t>起草说明</w:t>
      </w:r>
    </w:p>
    <w:bookmarkEnd w:id="0"/>
    <w:p w14:paraId="474EE803" w14:textId="77777777" w:rsidR="00D466E8" w:rsidRDefault="00D466E8">
      <w:pPr>
        <w:shd w:val="clear" w:color="auto" w:fill="FFFFFF"/>
        <w:spacing w:line="600" w:lineRule="exact"/>
        <w:ind w:firstLineChars="200" w:firstLine="640"/>
        <w:rPr>
          <w:rFonts w:ascii="仿宋_GB2312" w:eastAsia="仿宋_GB2312" w:hAnsi="仿宋" w:cs="仿宋" w:hint="eastAsia"/>
          <w:sz w:val="32"/>
          <w:szCs w:val="32"/>
        </w:rPr>
      </w:pPr>
    </w:p>
    <w:p w14:paraId="39279C6C" w14:textId="77777777" w:rsidR="00D466E8" w:rsidRDefault="00000000">
      <w:pPr>
        <w:spacing w:after="0" w:line="600" w:lineRule="exact"/>
        <w:ind w:firstLineChars="200" w:firstLine="640"/>
        <w:rPr>
          <w:rFonts w:ascii="黑体" w:eastAsia="黑体" w:hAnsi="黑体" w:cs="仿宋" w:hint="eastAsia"/>
          <w:sz w:val="32"/>
          <w:szCs w:val="32"/>
        </w:rPr>
      </w:pPr>
      <w:bookmarkStart w:id="2" w:name="OLE_LINK4"/>
      <w:r>
        <w:rPr>
          <w:rFonts w:ascii="黑体" w:eastAsia="黑体" w:hAnsi="黑体" w:cs="仿宋" w:hint="eastAsia"/>
          <w:sz w:val="32"/>
          <w:szCs w:val="32"/>
        </w:rPr>
        <w:t>一、政策制定背景和过程</w:t>
      </w:r>
    </w:p>
    <w:p w14:paraId="3FA8B333"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bookmarkStart w:id="3" w:name="OLE_LINK9"/>
      <w:r>
        <w:rPr>
          <w:rFonts w:ascii="楷体_GB2312" w:eastAsia="楷体_GB2312" w:hAnsi="楷体_GB2312" w:cs="楷体_GB2312" w:hint="eastAsia"/>
          <w:sz w:val="32"/>
          <w:szCs w:val="32"/>
        </w:rPr>
        <w:t>（一）制定背景</w:t>
      </w:r>
    </w:p>
    <w:p w14:paraId="45EF8ECF" w14:textId="596DC399" w:rsidR="00D466E8" w:rsidRDefault="00000000">
      <w:pPr>
        <w:spacing w:after="0" w:line="600" w:lineRule="exact"/>
        <w:ind w:firstLineChars="200" w:firstLine="640"/>
        <w:rPr>
          <w:rFonts w:ascii="仿宋_GB2312" w:eastAsia="仿宋_GB2312" w:hAnsi="仿宋" w:cs="仿宋" w:hint="eastAsia"/>
          <w:sz w:val="32"/>
          <w:szCs w:val="32"/>
        </w:rPr>
      </w:pPr>
      <w:bookmarkStart w:id="4" w:name="OLE_LINK3"/>
      <w:r>
        <w:rPr>
          <w:rFonts w:ascii="仿宋_GB2312" w:eastAsia="仿宋_GB2312" w:hAnsi="仿宋" w:cs="仿宋" w:hint="eastAsia"/>
          <w:color w:val="000000" w:themeColor="text1"/>
          <w:sz w:val="32"/>
          <w:szCs w:val="32"/>
        </w:rPr>
        <w:t>立足高质量发展核心任务，紧扣新时代首都发展战略导向，深入贯彻落实构建全国统一大市场部署要求，结合《公平竞争审查条例》相关规定及西城区实际，</w:t>
      </w:r>
      <w:bookmarkEnd w:id="4"/>
      <w:r>
        <w:rPr>
          <w:rFonts w:ascii="仿宋_GB2312" w:eastAsia="仿宋_GB2312" w:hAnsi="仿宋" w:cs="仿宋" w:hint="eastAsia"/>
          <w:color w:val="000000" w:themeColor="text1"/>
          <w:sz w:val="32"/>
          <w:szCs w:val="32"/>
        </w:rPr>
        <w:t>北</w:t>
      </w:r>
      <w:r w:rsidR="00E1257E">
        <w:rPr>
          <w:rFonts w:ascii="仿宋_GB2312" w:eastAsia="仿宋_GB2312" w:hAnsi="仿宋" w:cs="仿宋" w:hint="eastAsia"/>
          <w:color w:val="000000" w:themeColor="text1"/>
          <w:sz w:val="32"/>
          <w:szCs w:val="32"/>
        </w:rPr>
        <w:t>京</w:t>
      </w:r>
      <w:r>
        <w:rPr>
          <w:rFonts w:ascii="仿宋_GB2312" w:eastAsia="仿宋_GB2312" w:hAnsi="仿宋" w:cs="仿宋" w:hint="eastAsia"/>
          <w:color w:val="000000" w:themeColor="text1"/>
          <w:sz w:val="32"/>
          <w:szCs w:val="32"/>
        </w:rPr>
        <w:t>金融</w:t>
      </w:r>
      <w:proofErr w:type="gramStart"/>
      <w:r>
        <w:rPr>
          <w:rFonts w:ascii="仿宋_GB2312" w:eastAsia="仿宋_GB2312" w:hAnsi="仿宋" w:cs="仿宋" w:hint="eastAsia"/>
          <w:color w:val="000000" w:themeColor="text1"/>
          <w:sz w:val="32"/>
          <w:szCs w:val="32"/>
        </w:rPr>
        <w:t>街服务</w:t>
      </w:r>
      <w:proofErr w:type="gramEnd"/>
      <w:r>
        <w:rPr>
          <w:rFonts w:ascii="仿宋_GB2312" w:eastAsia="仿宋_GB2312" w:hAnsi="仿宋" w:cs="仿宋" w:hint="eastAsia"/>
          <w:color w:val="000000" w:themeColor="text1"/>
          <w:sz w:val="32"/>
          <w:szCs w:val="32"/>
        </w:rPr>
        <w:t>局</w:t>
      </w:r>
      <w:r>
        <w:rPr>
          <w:rFonts w:ascii="仿宋_GB2312" w:eastAsia="仿宋_GB2312" w:hAnsi="仿宋" w:cs="仿宋" w:hint="eastAsia"/>
          <w:sz w:val="32"/>
          <w:szCs w:val="32"/>
        </w:rPr>
        <w:t>对</w:t>
      </w:r>
      <w:r w:rsidR="00E1257E" w:rsidRPr="00773C5D">
        <w:rPr>
          <w:rFonts w:ascii="仿宋_GB2312" w:eastAsia="仿宋_GB2312" w:hAnsi="仿宋" w:cs="仿宋" w:hint="eastAsia"/>
          <w:color w:val="000000" w:themeColor="text1"/>
          <w:sz w:val="32"/>
          <w:szCs w:val="32"/>
        </w:rPr>
        <w:t>《北京市西城区加快现代金融产业发展的若干措施》（西行规发〔2023〕4号，</w:t>
      </w:r>
      <w:r w:rsidR="00E1257E" w:rsidRPr="00773C5D">
        <w:rPr>
          <w:rFonts w:ascii="仿宋_GB2312" w:eastAsia="仿宋_GB2312" w:hint="eastAsia"/>
          <w:sz w:val="32"/>
          <w:szCs w:val="32"/>
        </w:rPr>
        <w:t>简称“金服十条2.0”</w:t>
      </w:r>
      <w:r w:rsidR="00E1257E" w:rsidRPr="00773C5D">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开展</w:t>
      </w:r>
      <w:r>
        <w:rPr>
          <w:rFonts w:ascii="仿宋_GB2312" w:eastAsia="仿宋_GB2312" w:hAnsi="仿宋" w:cs="仿宋" w:hint="eastAsia"/>
          <w:sz w:val="32"/>
          <w:szCs w:val="32"/>
        </w:rPr>
        <w:t>系统性优化升级</w:t>
      </w:r>
      <w:bookmarkEnd w:id="3"/>
      <w:r>
        <w:rPr>
          <w:rFonts w:ascii="仿宋_GB2312" w:eastAsia="仿宋_GB2312" w:hAnsi="仿宋" w:cs="仿宋" w:hint="eastAsia"/>
          <w:sz w:val="32"/>
          <w:szCs w:val="32"/>
        </w:rPr>
        <w:t>工作。</w:t>
      </w:r>
    </w:p>
    <w:p w14:paraId="12466887" w14:textId="77777777" w:rsidR="00D466E8" w:rsidRDefault="00000000">
      <w:pPr>
        <w:spacing w:after="0" w:line="600" w:lineRule="exact"/>
        <w:ind w:firstLineChars="200" w:firstLine="640"/>
        <w:rPr>
          <w:rFonts w:ascii="仿宋_GB2312" w:eastAsia="仿宋_GB2312" w:hAnsi="仿宋" w:cs="仿宋" w:hint="eastAsia"/>
          <w:sz w:val="32"/>
          <w:szCs w:val="32"/>
        </w:rPr>
      </w:pPr>
      <w:bookmarkStart w:id="5" w:name="OLE_LINK7"/>
      <w:r>
        <w:rPr>
          <w:rFonts w:ascii="仿宋_GB2312" w:eastAsia="仿宋_GB2312" w:hAnsi="仿宋" w:cs="仿宋" w:hint="eastAsia"/>
          <w:sz w:val="32"/>
          <w:szCs w:val="32"/>
        </w:rPr>
        <w:t>本次政策修订遵循三项基本原则</w:t>
      </w:r>
      <w:bookmarkEnd w:id="5"/>
      <w:r>
        <w:rPr>
          <w:rFonts w:ascii="仿宋_GB2312" w:eastAsia="仿宋_GB2312" w:hAnsi="仿宋" w:cs="仿宋" w:hint="eastAsia"/>
          <w:sz w:val="32"/>
          <w:szCs w:val="32"/>
        </w:rPr>
        <w:t>：</w:t>
      </w:r>
      <w:bookmarkStart w:id="6" w:name="OLE_LINK11"/>
      <w:bookmarkStart w:id="7" w:name="OLE_LINK6"/>
      <w:r>
        <w:rPr>
          <w:rFonts w:ascii="仿宋_GB2312" w:eastAsia="仿宋_GB2312" w:hAnsi="仿宋" w:cs="仿宋" w:hint="eastAsia"/>
          <w:b/>
          <w:bCs/>
          <w:sz w:val="32"/>
          <w:szCs w:val="32"/>
        </w:rPr>
        <w:t>一是强化合</w:t>
      </w:r>
      <w:proofErr w:type="gramStart"/>
      <w:r>
        <w:rPr>
          <w:rFonts w:ascii="仿宋_GB2312" w:eastAsia="仿宋_GB2312" w:hAnsi="仿宋" w:cs="仿宋" w:hint="eastAsia"/>
          <w:b/>
          <w:bCs/>
          <w:sz w:val="32"/>
          <w:szCs w:val="32"/>
        </w:rPr>
        <w:t>规</w:t>
      </w:r>
      <w:proofErr w:type="gramEnd"/>
      <w:r>
        <w:rPr>
          <w:rFonts w:ascii="仿宋_GB2312" w:eastAsia="仿宋_GB2312" w:hAnsi="仿宋" w:cs="仿宋" w:hint="eastAsia"/>
          <w:b/>
          <w:bCs/>
          <w:sz w:val="32"/>
          <w:szCs w:val="32"/>
        </w:rPr>
        <w:t>性。</w:t>
      </w:r>
      <w:r>
        <w:rPr>
          <w:rFonts w:ascii="仿宋_GB2312" w:eastAsia="仿宋_GB2312" w:hAnsi="仿宋" w:cs="仿宋" w:hint="eastAsia"/>
          <w:color w:val="000000" w:themeColor="text1"/>
          <w:sz w:val="32"/>
          <w:szCs w:val="32"/>
        </w:rPr>
        <w:t>严格依据</w:t>
      </w:r>
      <w:r>
        <w:rPr>
          <w:rFonts w:ascii="仿宋_GB2312" w:eastAsia="仿宋_GB2312" w:hAnsi="仿宋" w:cs="仿宋" w:hint="eastAsia"/>
          <w:sz w:val="32"/>
          <w:szCs w:val="32"/>
        </w:rPr>
        <w:t>《公平竞争审查条例》及实施办法，探索从“明确条件”转向“两区”建设项目清单管理过渡，做好与区发展改革</w:t>
      </w:r>
      <w:proofErr w:type="gramStart"/>
      <w:r>
        <w:rPr>
          <w:rFonts w:ascii="仿宋_GB2312" w:eastAsia="仿宋_GB2312" w:hAnsi="仿宋" w:cs="仿宋" w:hint="eastAsia"/>
          <w:sz w:val="32"/>
          <w:szCs w:val="32"/>
        </w:rPr>
        <w:t>委产业</w:t>
      </w:r>
      <w:proofErr w:type="gramEnd"/>
      <w:r>
        <w:rPr>
          <w:rFonts w:ascii="仿宋_GB2312" w:eastAsia="仿宋_GB2312" w:hAnsi="仿宋" w:cs="仿宋" w:hint="eastAsia"/>
          <w:sz w:val="32"/>
          <w:szCs w:val="32"/>
        </w:rPr>
        <w:t>政策的衔接，促进市场主体非歧视准入，提升政策覆盖面。</w:t>
      </w:r>
      <w:bookmarkStart w:id="8" w:name="OLE_LINK10"/>
      <w:bookmarkEnd w:id="6"/>
      <w:bookmarkEnd w:id="7"/>
      <w:r>
        <w:rPr>
          <w:rFonts w:ascii="仿宋_GB2312" w:eastAsia="仿宋_GB2312" w:hAnsi="仿宋" w:cs="仿宋" w:hint="eastAsia"/>
          <w:b/>
          <w:bCs/>
          <w:sz w:val="32"/>
          <w:szCs w:val="32"/>
        </w:rPr>
        <w:t>二是聚焦导向性。</w:t>
      </w:r>
      <w:r>
        <w:rPr>
          <w:rFonts w:ascii="仿宋_GB2312" w:eastAsia="仿宋_GB2312" w:hAnsi="仿宋" w:cs="仿宋" w:hint="eastAsia"/>
          <w:sz w:val="32"/>
          <w:szCs w:val="32"/>
        </w:rPr>
        <w:t>重点</w:t>
      </w:r>
      <w:proofErr w:type="gramStart"/>
      <w:r>
        <w:rPr>
          <w:rFonts w:ascii="仿宋_GB2312" w:eastAsia="仿宋_GB2312" w:hAnsi="仿宋" w:cs="仿宋" w:hint="eastAsia"/>
          <w:sz w:val="32"/>
          <w:szCs w:val="32"/>
        </w:rPr>
        <w:t>围绕资管高地</w:t>
      </w:r>
      <w:proofErr w:type="gramEnd"/>
      <w:r>
        <w:rPr>
          <w:rFonts w:ascii="仿宋_GB2312" w:eastAsia="仿宋_GB2312" w:hAnsi="仿宋" w:cs="仿宋" w:hint="eastAsia"/>
          <w:sz w:val="32"/>
          <w:szCs w:val="32"/>
        </w:rPr>
        <w:t>、私募基金、资本市场生态等重点</w:t>
      </w:r>
      <w:r>
        <w:rPr>
          <w:rFonts w:ascii="仿宋_GB2312" w:eastAsia="仿宋_GB2312" w:hAnsi="仿宋" w:cs="仿宋" w:hint="eastAsia"/>
          <w:color w:val="000000" w:themeColor="text1"/>
          <w:sz w:val="32"/>
          <w:szCs w:val="32"/>
        </w:rPr>
        <w:t>方向</w:t>
      </w:r>
      <w:r>
        <w:rPr>
          <w:rFonts w:ascii="仿宋_GB2312" w:eastAsia="仿宋_GB2312" w:hAnsi="仿宋" w:cs="仿宋" w:hint="eastAsia"/>
          <w:sz w:val="32"/>
          <w:szCs w:val="32"/>
        </w:rPr>
        <w:t>，探索将金融特色楼宇纳入政策支持范畴。通过引导机构创新、优化人才激励机制，强化政策的社会责任导向作用</w:t>
      </w:r>
      <w:r>
        <w:rPr>
          <w:rFonts w:ascii="仿宋_GB2312" w:eastAsia="仿宋_GB2312" w:hAnsi="仿宋" w:cs="仿宋" w:hint="eastAsia"/>
          <w:color w:val="000000" w:themeColor="text1"/>
          <w:sz w:val="32"/>
          <w:szCs w:val="32"/>
        </w:rPr>
        <w:t>。</w:t>
      </w:r>
      <w:bookmarkStart w:id="9" w:name="OLE_LINK8"/>
      <w:bookmarkEnd w:id="8"/>
      <w:r>
        <w:rPr>
          <w:rFonts w:ascii="仿宋_GB2312" w:eastAsia="仿宋_GB2312" w:hAnsi="仿宋" w:cs="仿宋" w:hint="eastAsia"/>
          <w:b/>
          <w:bCs/>
          <w:sz w:val="32"/>
          <w:szCs w:val="32"/>
        </w:rPr>
        <w:t>三是提升适</w:t>
      </w:r>
      <w:r>
        <w:rPr>
          <w:rFonts w:ascii="仿宋_GB2312" w:eastAsia="仿宋_GB2312" w:hAnsi="仿宋" w:cs="仿宋" w:hint="eastAsia"/>
          <w:b/>
          <w:bCs/>
          <w:sz w:val="32"/>
          <w:szCs w:val="32"/>
        </w:rPr>
        <w:lastRenderedPageBreak/>
        <w:t>配性。</w:t>
      </w:r>
      <w:bookmarkStart w:id="10" w:name="OLE_LINK2"/>
      <w:r>
        <w:rPr>
          <w:rFonts w:ascii="仿宋_GB2312" w:eastAsia="仿宋_GB2312" w:hAnsi="仿宋" w:cs="仿宋" w:hint="eastAsia"/>
          <w:sz w:val="32"/>
          <w:szCs w:val="32"/>
        </w:rPr>
        <w:t>通过实地走访、座谈会等形式，收集</w:t>
      </w:r>
      <w:proofErr w:type="gramStart"/>
      <w:r>
        <w:rPr>
          <w:rFonts w:ascii="仿宋_GB2312" w:eastAsia="仿宋_GB2312" w:hAnsi="仿宋" w:cs="仿宋" w:hint="eastAsia"/>
          <w:sz w:val="32"/>
          <w:szCs w:val="32"/>
        </w:rPr>
        <w:t>驻区及跨区域</w:t>
      </w:r>
      <w:proofErr w:type="gramEnd"/>
      <w:r>
        <w:rPr>
          <w:rFonts w:ascii="仿宋_GB2312" w:eastAsia="仿宋_GB2312" w:hAnsi="仿宋" w:cs="仿宋" w:hint="eastAsia"/>
          <w:sz w:val="32"/>
          <w:szCs w:val="32"/>
        </w:rPr>
        <w:t>金融机构的问题和需求，梳理政策落地中的难点问题，对政策条款进行针对性调整完善。</w:t>
      </w:r>
      <w:bookmarkEnd w:id="10"/>
      <w:r>
        <w:rPr>
          <w:rFonts w:ascii="仿宋_GB2312" w:eastAsia="仿宋_GB2312" w:hAnsi="仿宋" w:cs="仿宋" w:hint="eastAsia"/>
          <w:sz w:val="32"/>
          <w:szCs w:val="32"/>
        </w:rPr>
        <w:t>同时优化人才服务项目设计，丰富服务保障内容，推动政策供给与机构实际需求进一步匹配</w:t>
      </w:r>
      <w:bookmarkEnd w:id="9"/>
      <w:r>
        <w:rPr>
          <w:rFonts w:ascii="仿宋_GB2312" w:eastAsia="仿宋_GB2312" w:hAnsi="仿宋" w:cs="仿宋" w:hint="eastAsia"/>
          <w:sz w:val="32"/>
          <w:szCs w:val="32"/>
        </w:rPr>
        <w:t>。</w:t>
      </w:r>
    </w:p>
    <w:p w14:paraId="3224C7E7"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（二）制定过程</w:t>
      </w:r>
    </w:p>
    <w:p w14:paraId="4815BFFC" w14:textId="77777777" w:rsidR="00D466E8" w:rsidRDefault="00000000">
      <w:pPr>
        <w:widowControl/>
        <w:adjustRightInd w:val="0"/>
        <w:spacing w:after="0" w:line="600" w:lineRule="exact"/>
        <w:ind w:firstLineChars="200" w:firstLine="640"/>
        <w:rPr>
          <w:rFonts w:ascii="仿宋_GB2312" w:eastAsia="仿宋_GB2312" w:hAnsi="黑体" w:cs="宋体" w:hint="eastAsia"/>
          <w:kern w:val="0"/>
          <w:sz w:val="32"/>
          <w:szCs w:val="32"/>
        </w:rPr>
      </w:pPr>
      <w:r>
        <w:rPr>
          <w:rFonts w:ascii="仿宋_GB2312" w:eastAsia="仿宋_GB2312" w:hAnsi="仿宋" w:cs="仿宋" w:hint="eastAsia"/>
          <w:sz w:val="32"/>
          <w:szCs w:val="32"/>
        </w:rPr>
        <w:t>2024年12月，</w:t>
      </w:r>
      <w:r>
        <w:rPr>
          <w:rFonts w:ascii="仿宋_GB2312" w:eastAsia="仿宋_GB2312" w:hAnsi="仿宋" w:hint="eastAsia"/>
          <w:sz w:val="32"/>
          <w:szCs w:val="32"/>
        </w:rPr>
        <w:t>金融</w:t>
      </w:r>
      <w:proofErr w:type="gramStart"/>
      <w:r>
        <w:rPr>
          <w:rFonts w:ascii="仿宋_GB2312" w:eastAsia="仿宋_GB2312" w:hAnsi="仿宋" w:hint="eastAsia"/>
          <w:sz w:val="32"/>
          <w:szCs w:val="32"/>
        </w:rPr>
        <w:t>街服务</w:t>
      </w:r>
      <w:proofErr w:type="gramEnd"/>
      <w:r>
        <w:rPr>
          <w:rFonts w:ascii="仿宋_GB2312" w:eastAsia="仿宋_GB2312" w:hAnsi="仿宋" w:hint="eastAsia"/>
          <w:sz w:val="32"/>
          <w:szCs w:val="32"/>
        </w:rPr>
        <w:t>局</w:t>
      </w:r>
      <w:r>
        <w:rPr>
          <w:rFonts w:ascii="仿宋_GB2312" w:eastAsia="仿宋_GB2312" w:hAnsi="仿宋_GB2312" w:cs="仿宋_GB2312" w:hint="eastAsia"/>
          <w:sz w:val="32"/>
          <w:szCs w:val="32"/>
        </w:rPr>
        <w:t>组建</w:t>
      </w:r>
      <w:r>
        <w:rPr>
          <w:rFonts w:ascii="仿宋_GB2312" w:eastAsia="仿宋_GB2312" w:hAnsi="仿宋" w:hint="eastAsia"/>
          <w:sz w:val="32"/>
          <w:szCs w:val="32"/>
        </w:rPr>
        <w:t>政策修订专班，通过调研部分省市金融产业支持政策，学习借鉴先进经验。期间多次组织专题研讨，并广泛征求区级相关部门意见建议，结合西城区金融产业发展实际，</w:t>
      </w:r>
      <w:r>
        <w:rPr>
          <w:rFonts w:ascii="仿宋_GB2312" w:eastAsia="仿宋_GB2312" w:hint="eastAsia"/>
          <w:sz w:val="32"/>
          <w:szCs w:val="32"/>
        </w:rPr>
        <w:t>研究形成《关于加快现代金融产业高质量发展 促进金融领域“两区”建设的暂行措施（征求意见稿）》</w:t>
      </w:r>
      <w:r>
        <w:rPr>
          <w:rFonts w:ascii="仿宋_GB2312" w:eastAsia="仿宋_GB2312" w:hAnsi="仿宋" w:hint="eastAsia"/>
          <w:sz w:val="32"/>
          <w:szCs w:val="32"/>
        </w:rPr>
        <w:t>。</w:t>
      </w:r>
    </w:p>
    <w:p w14:paraId="057302F0" w14:textId="77777777" w:rsidR="00D466E8" w:rsidRDefault="00000000">
      <w:pPr>
        <w:spacing w:after="0" w:line="60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二、主要内容</w:t>
      </w:r>
    </w:p>
    <w:bookmarkEnd w:id="2"/>
    <w:p w14:paraId="2844633E"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（一）关于支持范围</w:t>
      </w:r>
    </w:p>
    <w:p w14:paraId="62A001E3" w14:textId="77777777" w:rsidR="00D466E8" w:rsidRDefault="00000000">
      <w:pPr>
        <w:spacing w:after="0"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本次修订进一步明确了政策支持的金融机构范围和重点支持的金融领域。探索将符合国家金融管理中心功能定位、服务北京“两区”建设发展的金融机构纳入支持范围，扩大政策的适用空间。</w:t>
      </w:r>
    </w:p>
    <w:p w14:paraId="2F753C6E"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color w:val="000000" w:themeColor="text1"/>
          <w:sz w:val="32"/>
          <w:szCs w:val="32"/>
        </w:rPr>
        <w:t>关于机构奖励</w:t>
      </w:r>
    </w:p>
    <w:p w14:paraId="3F9C0F11"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sz w:val="32"/>
          <w:szCs w:val="32"/>
        </w:rPr>
        <w:t>做好与区级产业政策的衔接配套，对符合《北京市西城区培育和服务重点企业发展的若干措施》相关要求的金融机构，经认定给予奖励。同时探索资金支持与</w:t>
      </w:r>
      <w:r>
        <w:rPr>
          <w:rFonts w:ascii="仿宋_GB2312" w:eastAsia="仿宋_GB2312" w:hAnsi="仿宋" w:cs="仿宋" w:hint="eastAsia"/>
          <w:color w:val="000000" w:themeColor="text1"/>
          <w:sz w:val="32"/>
          <w:szCs w:val="32"/>
        </w:rPr>
        <w:t>服务保障</w:t>
      </w:r>
      <w:r>
        <w:rPr>
          <w:rFonts w:ascii="仿宋_GB2312" w:eastAsia="仿宋_GB2312" w:hAnsi="仿宋" w:cs="仿宋" w:hint="eastAsia"/>
          <w:sz w:val="32"/>
          <w:szCs w:val="32"/>
        </w:rPr>
        <w:t>相结合的</w:t>
      </w:r>
      <w:r>
        <w:rPr>
          <w:rFonts w:ascii="仿宋_GB2312" w:eastAsia="仿宋_GB2312" w:hAnsi="仿宋" w:cs="仿宋" w:hint="eastAsia"/>
          <w:color w:val="000000" w:themeColor="text1"/>
          <w:sz w:val="32"/>
          <w:szCs w:val="32"/>
        </w:rPr>
        <w:t>奖励形式，增强政策的适用性。</w:t>
      </w:r>
    </w:p>
    <w:p w14:paraId="60FAE779"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lastRenderedPageBreak/>
        <w:t>（三）</w:t>
      </w:r>
      <w:r>
        <w:rPr>
          <w:rFonts w:ascii="楷体_GB2312" w:eastAsia="楷体_GB2312" w:hAnsi="楷体_GB2312" w:cs="楷体_GB2312"/>
          <w:color w:val="000000" w:themeColor="text1"/>
          <w:sz w:val="32"/>
          <w:szCs w:val="32"/>
        </w:rPr>
        <w:t>关于产业导向</w:t>
      </w:r>
    </w:p>
    <w:p w14:paraId="148F072B"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聚焦重点产业方向，通过政策引导</w:t>
      </w:r>
      <w:proofErr w:type="gramStart"/>
      <w:r>
        <w:rPr>
          <w:rFonts w:ascii="仿宋_GB2312" w:eastAsia="仿宋_GB2312" w:hAnsi="仿宋" w:cs="仿宋" w:hint="eastAsia"/>
          <w:color w:val="000000" w:themeColor="text1"/>
          <w:sz w:val="32"/>
          <w:szCs w:val="32"/>
        </w:rPr>
        <w:t>鼓励资管机构</w:t>
      </w:r>
      <w:proofErr w:type="gramEnd"/>
      <w:r>
        <w:rPr>
          <w:rFonts w:ascii="仿宋_GB2312" w:eastAsia="仿宋_GB2312" w:hAnsi="仿宋" w:cs="仿宋" w:hint="eastAsia"/>
          <w:color w:val="000000" w:themeColor="text1"/>
          <w:sz w:val="32"/>
          <w:szCs w:val="32"/>
        </w:rPr>
        <w:t>提升管理水平，对在行业发展中发挥积极作用的</w:t>
      </w:r>
      <w:proofErr w:type="gramStart"/>
      <w:r>
        <w:rPr>
          <w:rFonts w:ascii="仿宋_GB2312" w:eastAsia="仿宋_GB2312" w:hAnsi="仿宋" w:cs="仿宋" w:hint="eastAsia"/>
          <w:color w:val="000000" w:themeColor="text1"/>
          <w:sz w:val="32"/>
          <w:szCs w:val="32"/>
        </w:rPr>
        <w:t>专业资管机构</w:t>
      </w:r>
      <w:proofErr w:type="gramEnd"/>
      <w:r>
        <w:rPr>
          <w:rFonts w:ascii="仿宋_GB2312" w:eastAsia="仿宋_GB2312" w:hAnsi="仿宋" w:cs="仿宋" w:hint="eastAsia"/>
          <w:color w:val="000000" w:themeColor="text1"/>
          <w:sz w:val="32"/>
          <w:szCs w:val="32"/>
        </w:rPr>
        <w:t>，研究给予相应资金支持。支持私募证券投资基金规范稳健发展，探索建立私募基金管理人高质量发展奖励机制。在原政策基础上，积极探索打造金融街资本市场生态圈，促进专业服务机构协同发展，持续提升金融服务效能。</w:t>
      </w:r>
    </w:p>
    <w:p w14:paraId="4E12B9E9"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（四）</w:t>
      </w:r>
      <w:r>
        <w:rPr>
          <w:rFonts w:ascii="楷体_GB2312" w:eastAsia="楷体_GB2312" w:hAnsi="楷体_GB2312" w:cs="楷体_GB2312"/>
          <w:color w:val="000000" w:themeColor="text1"/>
          <w:sz w:val="32"/>
          <w:szCs w:val="32"/>
        </w:rPr>
        <w:t>关于人才</w:t>
      </w:r>
      <w:r>
        <w:rPr>
          <w:rFonts w:ascii="楷体_GB2312" w:eastAsia="楷体_GB2312" w:hAnsi="楷体_GB2312" w:cs="楷体_GB2312" w:hint="eastAsia"/>
          <w:sz w:val="32"/>
          <w:szCs w:val="32"/>
        </w:rPr>
        <w:t>奖励</w:t>
      </w:r>
    </w:p>
    <w:p w14:paraId="3F730FD0"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为推动金融机构持续加强人才队伍建设，本次修订新增相关条款，支持金融机构塑造“守正创新”文化理念，打造富有社会责任的骨干团队。进一步优化人才激励政策，强化服务保障措施，营造有利于金融人才发展的良好环境。</w:t>
      </w:r>
    </w:p>
    <w:p w14:paraId="3C32752E"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（五）</w:t>
      </w:r>
      <w:r>
        <w:rPr>
          <w:rFonts w:ascii="楷体_GB2312" w:eastAsia="楷体_GB2312" w:hAnsi="楷体_GB2312" w:cs="楷体_GB2312"/>
          <w:color w:val="000000" w:themeColor="text1"/>
          <w:sz w:val="32"/>
          <w:szCs w:val="32"/>
        </w:rPr>
        <w:t>关于特色楼宇</w:t>
      </w:r>
    </w:p>
    <w:p w14:paraId="76C63EA6" w14:textId="77777777" w:rsidR="00D466E8" w:rsidRDefault="00000000">
      <w:pPr>
        <w:spacing w:after="0"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themeColor="text1"/>
          <w:sz w:val="32"/>
          <w:szCs w:val="32"/>
        </w:rPr>
        <w:t>新增特色楼宇支持条款，鼓励各类主体围绕“国际化、专业化、绿色化”方向，打造金融特色楼宇。通过政策引导，推动金融特色楼宇在产业延链、补链、强链等方面发挥积极作用，助力提升“两区”建设服务水平。</w:t>
      </w:r>
    </w:p>
    <w:bookmarkEnd w:id="1"/>
    <w:p w14:paraId="2E5E5773" w14:textId="77777777" w:rsidR="00D466E8" w:rsidRDefault="00D466E8">
      <w:pPr>
        <w:spacing w:after="0" w:line="600" w:lineRule="exact"/>
        <w:ind w:firstLineChars="200" w:firstLine="640"/>
        <w:rPr>
          <w:rFonts w:ascii="仿宋_GB2312" w:eastAsia="仿宋_GB2312" w:hAnsi="仿宋" w:cs="仿宋" w:hint="eastAsia"/>
          <w:color w:val="000000" w:themeColor="text1"/>
          <w:sz w:val="32"/>
          <w:szCs w:val="32"/>
        </w:rPr>
      </w:pPr>
    </w:p>
    <w:sectPr w:rsidR="00D466E8">
      <w:footerReference w:type="default" r:id="rId7"/>
      <w:pgSz w:w="11906" w:h="16838"/>
      <w:pgMar w:top="2098" w:right="1474" w:bottom="1984" w:left="1587" w:header="1417"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4CB3" w14:textId="77777777" w:rsidR="0044729C" w:rsidRDefault="0044729C">
      <w:pPr>
        <w:spacing w:after="0" w:line="240" w:lineRule="auto"/>
        <w:rPr>
          <w:rFonts w:hint="eastAsia"/>
        </w:rPr>
      </w:pPr>
      <w:r>
        <w:separator/>
      </w:r>
    </w:p>
  </w:endnote>
  <w:endnote w:type="continuationSeparator" w:id="0">
    <w:p w14:paraId="696C084B" w14:textId="77777777" w:rsidR="0044729C" w:rsidRDefault="0044729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09165"/>
    </w:sdtPr>
    <w:sdtEndPr>
      <w:rPr>
        <w:rFonts w:ascii="宋体" w:eastAsia="宋体" w:hAnsi="宋体"/>
        <w:sz w:val="28"/>
        <w:szCs w:val="28"/>
      </w:rPr>
    </w:sdtEndPr>
    <w:sdtContent>
      <w:p w14:paraId="5E648C76" w14:textId="77777777" w:rsidR="00D466E8" w:rsidRDefault="00000000">
        <w:pPr>
          <w:pStyle w:val="a8"/>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9C22" w14:textId="77777777" w:rsidR="0044729C" w:rsidRDefault="0044729C">
      <w:pPr>
        <w:spacing w:after="0" w:line="240" w:lineRule="auto"/>
        <w:rPr>
          <w:rFonts w:hint="eastAsia"/>
        </w:rPr>
      </w:pPr>
      <w:r>
        <w:separator/>
      </w:r>
    </w:p>
  </w:footnote>
  <w:footnote w:type="continuationSeparator" w:id="0">
    <w:p w14:paraId="4459C122" w14:textId="77777777" w:rsidR="0044729C" w:rsidRDefault="0044729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F3"/>
    <w:rsid w:val="EB73EF84"/>
    <w:rsid w:val="00001A93"/>
    <w:rsid w:val="00014A90"/>
    <w:rsid w:val="00032831"/>
    <w:rsid w:val="00036847"/>
    <w:rsid w:val="00046DF1"/>
    <w:rsid w:val="00061C5F"/>
    <w:rsid w:val="000629B4"/>
    <w:rsid w:val="00070154"/>
    <w:rsid w:val="000723F3"/>
    <w:rsid w:val="00077EB5"/>
    <w:rsid w:val="000B12FE"/>
    <w:rsid w:val="000C14DF"/>
    <w:rsid w:val="000E10C4"/>
    <w:rsid w:val="000F0AAE"/>
    <w:rsid w:val="000F5493"/>
    <w:rsid w:val="00113F5C"/>
    <w:rsid w:val="00123D38"/>
    <w:rsid w:val="00131DB7"/>
    <w:rsid w:val="00133CD1"/>
    <w:rsid w:val="00147662"/>
    <w:rsid w:val="001525EE"/>
    <w:rsid w:val="001565FE"/>
    <w:rsid w:val="00191144"/>
    <w:rsid w:val="00191967"/>
    <w:rsid w:val="001B2BF8"/>
    <w:rsid w:val="001C53BA"/>
    <w:rsid w:val="001E1AB0"/>
    <w:rsid w:val="001F458A"/>
    <w:rsid w:val="00217664"/>
    <w:rsid w:val="0022058F"/>
    <w:rsid w:val="002279AA"/>
    <w:rsid w:val="00234D6D"/>
    <w:rsid w:val="002652C1"/>
    <w:rsid w:val="002A2A2C"/>
    <w:rsid w:val="002A2C66"/>
    <w:rsid w:val="002C0D2F"/>
    <w:rsid w:val="002E6A27"/>
    <w:rsid w:val="003121E6"/>
    <w:rsid w:val="0031352B"/>
    <w:rsid w:val="003621B0"/>
    <w:rsid w:val="00371C68"/>
    <w:rsid w:val="00374E26"/>
    <w:rsid w:val="003922D1"/>
    <w:rsid w:val="003A373D"/>
    <w:rsid w:val="003A4DD3"/>
    <w:rsid w:val="003B3428"/>
    <w:rsid w:val="003C1E6A"/>
    <w:rsid w:val="003C5CE6"/>
    <w:rsid w:val="003D471D"/>
    <w:rsid w:val="003D5305"/>
    <w:rsid w:val="003F5BD0"/>
    <w:rsid w:val="0041002B"/>
    <w:rsid w:val="0041778B"/>
    <w:rsid w:val="0042155F"/>
    <w:rsid w:val="00427C64"/>
    <w:rsid w:val="004309CA"/>
    <w:rsid w:val="0044729C"/>
    <w:rsid w:val="00455153"/>
    <w:rsid w:val="0048439C"/>
    <w:rsid w:val="00491C29"/>
    <w:rsid w:val="004B17EE"/>
    <w:rsid w:val="004B334F"/>
    <w:rsid w:val="004B5FF3"/>
    <w:rsid w:val="004C4257"/>
    <w:rsid w:val="004D0A79"/>
    <w:rsid w:val="004D63C2"/>
    <w:rsid w:val="004D6587"/>
    <w:rsid w:val="005010DB"/>
    <w:rsid w:val="00507A83"/>
    <w:rsid w:val="005140B8"/>
    <w:rsid w:val="005401A4"/>
    <w:rsid w:val="00551685"/>
    <w:rsid w:val="0055377E"/>
    <w:rsid w:val="00557913"/>
    <w:rsid w:val="005811A1"/>
    <w:rsid w:val="00581592"/>
    <w:rsid w:val="00585398"/>
    <w:rsid w:val="005904E4"/>
    <w:rsid w:val="00591F0B"/>
    <w:rsid w:val="00592EFF"/>
    <w:rsid w:val="005945B2"/>
    <w:rsid w:val="005E5166"/>
    <w:rsid w:val="006103A1"/>
    <w:rsid w:val="006135C6"/>
    <w:rsid w:val="00614096"/>
    <w:rsid w:val="00646C7D"/>
    <w:rsid w:val="0065062C"/>
    <w:rsid w:val="00673928"/>
    <w:rsid w:val="00695AE6"/>
    <w:rsid w:val="006A7381"/>
    <w:rsid w:val="006C5311"/>
    <w:rsid w:val="006E0A86"/>
    <w:rsid w:val="006E2AA6"/>
    <w:rsid w:val="006E349C"/>
    <w:rsid w:val="006F4CAF"/>
    <w:rsid w:val="00712664"/>
    <w:rsid w:val="00721AE5"/>
    <w:rsid w:val="00730116"/>
    <w:rsid w:val="0074225C"/>
    <w:rsid w:val="00752CF9"/>
    <w:rsid w:val="00754568"/>
    <w:rsid w:val="0076259A"/>
    <w:rsid w:val="00767DED"/>
    <w:rsid w:val="00773C5D"/>
    <w:rsid w:val="00774F2D"/>
    <w:rsid w:val="00775FC5"/>
    <w:rsid w:val="00791CD0"/>
    <w:rsid w:val="00797239"/>
    <w:rsid w:val="007A251F"/>
    <w:rsid w:val="007A4F05"/>
    <w:rsid w:val="007A4FD0"/>
    <w:rsid w:val="007B2CDE"/>
    <w:rsid w:val="007B38F2"/>
    <w:rsid w:val="007C0F6C"/>
    <w:rsid w:val="007C167F"/>
    <w:rsid w:val="007C1BFF"/>
    <w:rsid w:val="007D1F58"/>
    <w:rsid w:val="007F397C"/>
    <w:rsid w:val="007F75F6"/>
    <w:rsid w:val="00804330"/>
    <w:rsid w:val="0081070E"/>
    <w:rsid w:val="0083356A"/>
    <w:rsid w:val="00835A68"/>
    <w:rsid w:val="0084578D"/>
    <w:rsid w:val="0084674F"/>
    <w:rsid w:val="00847C13"/>
    <w:rsid w:val="0085010E"/>
    <w:rsid w:val="008678BB"/>
    <w:rsid w:val="008A0332"/>
    <w:rsid w:val="008A492F"/>
    <w:rsid w:val="008B09BF"/>
    <w:rsid w:val="008D661D"/>
    <w:rsid w:val="008E11A2"/>
    <w:rsid w:val="008E55BB"/>
    <w:rsid w:val="00923F2D"/>
    <w:rsid w:val="00941AE8"/>
    <w:rsid w:val="00957323"/>
    <w:rsid w:val="00986860"/>
    <w:rsid w:val="009A50EB"/>
    <w:rsid w:val="009C3B38"/>
    <w:rsid w:val="009D38CF"/>
    <w:rsid w:val="009E0AD3"/>
    <w:rsid w:val="009E7128"/>
    <w:rsid w:val="009F2863"/>
    <w:rsid w:val="00A10749"/>
    <w:rsid w:val="00A34224"/>
    <w:rsid w:val="00A3458F"/>
    <w:rsid w:val="00A34E66"/>
    <w:rsid w:val="00A41182"/>
    <w:rsid w:val="00A43005"/>
    <w:rsid w:val="00A61530"/>
    <w:rsid w:val="00A71361"/>
    <w:rsid w:val="00A85278"/>
    <w:rsid w:val="00A86A3A"/>
    <w:rsid w:val="00A87B1B"/>
    <w:rsid w:val="00A97BC0"/>
    <w:rsid w:val="00AE358A"/>
    <w:rsid w:val="00AE4862"/>
    <w:rsid w:val="00AE5F12"/>
    <w:rsid w:val="00B03E25"/>
    <w:rsid w:val="00B2555C"/>
    <w:rsid w:val="00B26B27"/>
    <w:rsid w:val="00B70921"/>
    <w:rsid w:val="00B82927"/>
    <w:rsid w:val="00BB79F8"/>
    <w:rsid w:val="00BC4BD6"/>
    <w:rsid w:val="00BC4F5B"/>
    <w:rsid w:val="00BD342E"/>
    <w:rsid w:val="00BE6F2E"/>
    <w:rsid w:val="00BF08A6"/>
    <w:rsid w:val="00BF64E5"/>
    <w:rsid w:val="00C0654C"/>
    <w:rsid w:val="00C2669C"/>
    <w:rsid w:val="00C27D39"/>
    <w:rsid w:val="00C36671"/>
    <w:rsid w:val="00C6646D"/>
    <w:rsid w:val="00C962B1"/>
    <w:rsid w:val="00C96526"/>
    <w:rsid w:val="00C97B15"/>
    <w:rsid w:val="00CB24C7"/>
    <w:rsid w:val="00CB30FE"/>
    <w:rsid w:val="00CC2917"/>
    <w:rsid w:val="00CC5E7A"/>
    <w:rsid w:val="00CD7201"/>
    <w:rsid w:val="00CE5F59"/>
    <w:rsid w:val="00D00A10"/>
    <w:rsid w:val="00D11DB6"/>
    <w:rsid w:val="00D22FE5"/>
    <w:rsid w:val="00D24C6B"/>
    <w:rsid w:val="00D25F90"/>
    <w:rsid w:val="00D34897"/>
    <w:rsid w:val="00D45448"/>
    <w:rsid w:val="00D466E8"/>
    <w:rsid w:val="00D66157"/>
    <w:rsid w:val="00D70344"/>
    <w:rsid w:val="00D72947"/>
    <w:rsid w:val="00D75E17"/>
    <w:rsid w:val="00D8731B"/>
    <w:rsid w:val="00DB04D4"/>
    <w:rsid w:val="00DB4A62"/>
    <w:rsid w:val="00DC1F2C"/>
    <w:rsid w:val="00DF2C1A"/>
    <w:rsid w:val="00E00056"/>
    <w:rsid w:val="00E10E1E"/>
    <w:rsid w:val="00E1257E"/>
    <w:rsid w:val="00E26FFB"/>
    <w:rsid w:val="00E67716"/>
    <w:rsid w:val="00E679BD"/>
    <w:rsid w:val="00E70B19"/>
    <w:rsid w:val="00E77D28"/>
    <w:rsid w:val="00E836E9"/>
    <w:rsid w:val="00E90989"/>
    <w:rsid w:val="00EC1773"/>
    <w:rsid w:val="00EE2638"/>
    <w:rsid w:val="00EE4B61"/>
    <w:rsid w:val="00EF2DC2"/>
    <w:rsid w:val="00EF4079"/>
    <w:rsid w:val="00F00EC3"/>
    <w:rsid w:val="00F074ED"/>
    <w:rsid w:val="00F113DB"/>
    <w:rsid w:val="00F2071B"/>
    <w:rsid w:val="00F218A5"/>
    <w:rsid w:val="00F365A3"/>
    <w:rsid w:val="00F435C1"/>
    <w:rsid w:val="00F855CB"/>
    <w:rsid w:val="00FA37AF"/>
    <w:rsid w:val="00FA5CF3"/>
    <w:rsid w:val="00FD7014"/>
    <w:rsid w:val="059D3B8F"/>
    <w:rsid w:val="077953A4"/>
    <w:rsid w:val="0EE74636"/>
    <w:rsid w:val="1B2532D9"/>
    <w:rsid w:val="2491010E"/>
    <w:rsid w:val="290F0A51"/>
    <w:rsid w:val="29A657A2"/>
    <w:rsid w:val="32AE2622"/>
    <w:rsid w:val="3C3053F4"/>
    <w:rsid w:val="4FBEE975"/>
    <w:rsid w:val="500815D9"/>
    <w:rsid w:val="64C5395D"/>
    <w:rsid w:val="684528BE"/>
    <w:rsid w:val="6872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C75DE"/>
  <w15:docId w15:val="{EA6A1FAC-2ACC-499B-B640-89CC8782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spacing w:line="560" w:lineRule="exact"/>
      <w:ind w:firstLine="560"/>
      <w:jc w:val="both"/>
    </w:pPr>
    <w:rPr>
      <w:rFonts w:ascii="Calibri" w:eastAsia="仿宋_GB2312" w:hAnsi="Calibri" w:cs="Times New Roman"/>
      <w:kern w:val="2"/>
      <w:sz w:val="36"/>
      <w:szCs w:val="36"/>
    </w:rPr>
  </w:style>
  <w:style w:type="paragraph" w:styleId="a4">
    <w:name w:val="annotation text"/>
    <w:basedOn w:val="a"/>
    <w:link w:val="a5"/>
    <w:uiPriority w:val="99"/>
    <w:unhideWhenUsed/>
    <w:qFormat/>
    <w:pPr>
      <w:jc w:val="left"/>
    </w:pPr>
  </w:style>
  <w:style w:type="paragraph" w:styleId="a6">
    <w:name w:val="Plain Text"/>
    <w:basedOn w:val="a"/>
    <w:link w:val="a7"/>
    <w:uiPriority w:val="99"/>
    <w:unhideWhenUsed/>
    <w:qFormat/>
    <w:rPr>
      <w:rFonts w:ascii="宋体" w:eastAsia="宋体" w:hAnsi="Courier New" w:cs="Courier New"/>
      <w:szCs w:val="21"/>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Subtitle"/>
    <w:basedOn w:val="a"/>
    <w:next w:val="a"/>
    <w:link w:val="ad"/>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4"/>
    <w:next w:val="a4"/>
    <w:link w:val="af2"/>
    <w:uiPriority w:val="99"/>
    <w:semiHidden/>
    <w:unhideWhenUsed/>
    <w:qFormat/>
    <w:rPr>
      <w:b/>
      <w:bCs/>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b">
    <w:name w:val="页眉 字符"/>
    <w:basedOn w:val="a0"/>
    <w:link w:val="aa"/>
    <w:uiPriority w:val="99"/>
    <w:qFormat/>
    <w:rPr>
      <w:sz w:val="18"/>
      <w:szCs w:val="18"/>
      <w14:ligatures w14:val="none"/>
    </w:rPr>
  </w:style>
  <w:style w:type="character" w:customStyle="1" w:styleId="a9">
    <w:name w:val="页脚 字符"/>
    <w:basedOn w:val="a0"/>
    <w:link w:val="a8"/>
    <w:uiPriority w:val="99"/>
    <w:qFormat/>
    <w:rPr>
      <w:sz w:val="18"/>
      <w:szCs w:val="18"/>
      <w14:ligatures w14:val="none"/>
    </w:rPr>
  </w:style>
  <w:style w:type="paragraph" w:customStyle="1" w:styleId="13">
    <w:name w:val="修订1"/>
    <w:hidden/>
    <w:uiPriority w:val="99"/>
    <w:semiHidden/>
    <w:qFormat/>
    <w:rPr>
      <w:kern w:val="2"/>
      <w:sz w:val="21"/>
      <w:szCs w:val="22"/>
    </w:rPr>
  </w:style>
  <w:style w:type="paragraph" w:customStyle="1" w:styleId="21">
    <w:name w:val="修订2"/>
    <w:hidden/>
    <w:uiPriority w:val="99"/>
    <w:unhideWhenUsed/>
    <w:qFormat/>
    <w:rPr>
      <w:kern w:val="2"/>
      <w:sz w:val="21"/>
      <w:szCs w:val="22"/>
    </w:rPr>
  </w:style>
  <w:style w:type="character" w:customStyle="1" w:styleId="a5">
    <w:name w:val="批注文字 字符"/>
    <w:basedOn w:val="a0"/>
    <w:link w:val="a4"/>
    <w:uiPriority w:val="99"/>
    <w:qFormat/>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qFormat/>
    <w:rPr>
      <w:rFonts w:asciiTheme="minorHAnsi" w:eastAsiaTheme="minorEastAsia" w:hAnsiTheme="minorHAnsi" w:cstheme="minorBidi"/>
      <w:b/>
      <w:bCs/>
      <w:kern w:val="2"/>
      <w:sz w:val="21"/>
      <w:szCs w:val="22"/>
    </w:rPr>
  </w:style>
  <w:style w:type="paragraph" w:customStyle="1" w:styleId="31">
    <w:name w:val="修订3"/>
    <w:hidden/>
    <w:uiPriority w:val="99"/>
    <w:unhideWhenUsed/>
    <w:qFormat/>
    <w:pPr>
      <w:spacing w:after="0" w:line="240" w:lineRule="auto"/>
    </w:pPr>
    <w:rPr>
      <w:kern w:val="2"/>
      <w:sz w:val="21"/>
      <w:szCs w:val="22"/>
    </w:rPr>
  </w:style>
  <w:style w:type="character" w:customStyle="1" w:styleId="a7">
    <w:name w:val="纯文本 字符"/>
    <w:basedOn w:val="a0"/>
    <w:link w:val="a6"/>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622</Characters>
  <Application>Microsoft Office Word</Application>
  <DocSecurity>0</DocSecurity>
  <Lines>31</Lines>
  <Paragraphs>20</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汐 林</dc:creator>
  <cp:lastModifiedBy>林 汐</cp:lastModifiedBy>
  <cp:revision>3</cp:revision>
  <cp:lastPrinted>2025-03-10T17:26:00Z</cp:lastPrinted>
  <dcterms:created xsi:type="dcterms:W3CDTF">2025-04-18T01:08:00Z</dcterms:created>
  <dcterms:modified xsi:type="dcterms:W3CDTF">2025-04-22T02:10:00Z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25CB368C342148EEBB5B3CA1564D9D1C</vt:lpwstr>
  </property>
</Properties>
</file>