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left="-55" w:leftChars="-95" w:right="0" w:rightChars="0" w:hanging="144" w:hangingChars="45"/>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1</w:t>
      </w: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left="-1" w:leftChars="-95" w:right="0" w:rightChars="0" w:hanging="198" w:hangingChars="45"/>
        <w:jc w:val="center"/>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left="-1" w:leftChars="-95" w:right="0" w:rightChars="0" w:hanging="198" w:hangingChars="45"/>
        <w:jc w:val="center"/>
        <w:textAlignment w:val="auto"/>
        <w:rPr>
          <w:rFonts w:hint="eastAsia"/>
          <w:color w:val="auto"/>
          <w:highlight w:val="none"/>
          <w:lang w:eastAsia="zh-CN"/>
        </w:rPr>
      </w:pPr>
      <w:r>
        <w:rPr>
          <w:rFonts w:hint="eastAsia" w:ascii="方正小标宋简体" w:hAnsi="方正小标宋简体" w:eastAsia="方正小标宋简体" w:cs="方正小标宋简体"/>
          <w:color w:val="auto"/>
          <w:sz w:val="44"/>
          <w:szCs w:val="44"/>
          <w:highlight w:val="none"/>
        </w:rPr>
        <w:t>昌平区加快独角兽、专精特新企业培育发展支持办法</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lang w:val="en-US" w:eastAsia="zh-CN"/>
        </w:rPr>
        <w:t>2.0版本</w:t>
      </w:r>
      <w:r>
        <w:rPr>
          <w:rFonts w:hint="eastAsia" w:ascii="方正小标宋简体" w:hAnsi="方正小标宋简体" w:eastAsia="方正小标宋简体" w:cs="方正小标宋简体"/>
          <w:color w:val="auto"/>
          <w:sz w:val="44"/>
          <w:szCs w:val="44"/>
          <w:highlight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征求意见</w:t>
      </w:r>
      <w:r>
        <w:rPr>
          <w:rFonts w:hint="eastAsia" w:ascii="楷体_GB2312" w:hAnsi="楷体_GB2312" w:eastAsia="楷体_GB2312" w:cs="楷体_GB2312"/>
          <w:color w:val="auto"/>
          <w:sz w:val="32"/>
          <w:szCs w:val="32"/>
          <w:highlight w:val="none"/>
          <w:lang w:eastAsia="zh-CN"/>
        </w:rPr>
        <w:t>稿</w:t>
      </w:r>
      <w:r>
        <w:rPr>
          <w:rFonts w:hint="eastAsia" w:ascii="楷体_GB2312" w:hAnsi="楷体_GB2312" w:eastAsia="楷体_GB2312" w:cs="楷体_GB2312"/>
          <w:color w:val="auto"/>
          <w:sz w:val="32"/>
          <w:szCs w:val="32"/>
          <w:highlight w:val="none"/>
        </w:rPr>
        <w:t>）</w:t>
      </w:r>
    </w:p>
    <w:p>
      <w:pPr>
        <w:pStyle w:val="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bCs w:val="0"/>
          <w:color w:val="auto"/>
          <w:kern w:val="0"/>
          <w:sz w:val="32"/>
          <w:szCs w:val="32"/>
          <w:highlight w:val="none"/>
          <w:shd w:val="clear" w:color="auto" w:fill="auto"/>
          <w:lang w:val="zh-CN" w:eastAsia="zh-CN" w:bidi="ar-SA"/>
        </w:rPr>
      </w:pPr>
      <w:r>
        <w:rPr>
          <w:rFonts w:hint="eastAsia" w:ascii="仿宋_GB2312" w:hAnsi="仿宋_GB2312" w:eastAsia="仿宋_GB2312" w:cs="仿宋_GB2312"/>
          <w:bCs w:val="0"/>
          <w:color w:val="auto"/>
          <w:kern w:val="0"/>
          <w:sz w:val="32"/>
          <w:szCs w:val="32"/>
          <w:highlight w:val="none"/>
          <w:shd w:val="clear" w:color="auto" w:fill="auto"/>
          <w:lang w:val="zh-CN" w:eastAsia="zh-CN" w:bidi="ar-SA"/>
        </w:rPr>
        <w:t>为全面贯彻落实党的二十大精神，深入实施创新驱动发展战略，紧扣落好“五子”联动，主动融入昌平区“四区”建设，进</w:t>
      </w:r>
      <w:r>
        <w:rPr>
          <w:rFonts w:hint="eastAsia" w:ascii="仿宋_GB2312" w:hAnsi="仿宋_GB2312" w:eastAsia="仿宋_GB2312" w:cs="仿宋_GB2312"/>
          <w:bCs w:val="0"/>
          <w:color w:val="auto"/>
          <w:kern w:val="0"/>
          <w:sz w:val="32"/>
          <w:szCs w:val="32"/>
          <w:highlight w:val="none"/>
          <w:shd w:val="clear" w:color="auto" w:fill="auto"/>
          <w:lang w:val="en-US" w:eastAsia="zh-CN" w:bidi="ar-SA"/>
        </w:rPr>
        <w:t>一</w:t>
      </w:r>
      <w:r>
        <w:rPr>
          <w:rFonts w:hint="eastAsia" w:ascii="仿宋_GB2312" w:hAnsi="仿宋_GB2312" w:eastAsia="仿宋_GB2312" w:cs="仿宋_GB2312"/>
          <w:bCs w:val="0"/>
          <w:color w:val="auto"/>
          <w:kern w:val="0"/>
          <w:sz w:val="32"/>
          <w:szCs w:val="32"/>
          <w:highlight w:val="none"/>
          <w:shd w:val="clear" w:color="auto" w:fill="auto"/>
          <w:lang w:val="zh-CN" w:eastAsia="zh-CN" w:bidi="ar-SA"/>
        </w:rPr>
        <w:t>步激发企业创新创造活力，强化企业科技创新主体地位，培育和引进一批创新能力强、发展潜力大的独角兽企业、专精特新企业，加快中小企业梯度培育，壮大创新型企业集群，推动昌平区实现高质量发展，结合实际制定本办法。</w:t>
      </w:r>
    </w:p>
    <w:p>
      <w:pPr>
        <w:keepNext w:val="0"/>
        <w:keepLines w:val="0"/>
        <w:pageBreakBefore w:val="0"/>
        <w:widowControl w:val="0"/>
        <w:numPr>
          <w:ilvl w:val="0"/>
          <w:numId w:val="1"/>
        </w:numPr>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 总则</w:t>
      </w:r>
    </w:p>
    <w:p>
      <w:pPr>
        <w:pStyle w:val="2"/>
        <w:numPr>
          <w:ilvl w:val="0"/>
          <w:numId w:val="0"/>
        </w:numPr>
        <w:rPr>
          <w:rFonts w:hint="eastAsia"/>
          <w:color w:val="auto"/>
          <w:highlight w:val="none"/>
        </w:rPr>
      </w:pPr>
    </w:p>
    <w:p>
      <w:pPr>
        <w:pStyle w:val="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仿宋_GB2312" w:eastAsia="仿宋_GB2312" w:cs="仿宋_GB2312"/>
          <w:bCs w:val="0"/>
          <w:color w:val="auto"/>
          <w:kern w:val="0"/>
          <w:sz w:val="32"/>
          <w:szCs w:val="32"/>
          <w:highlight w:val="none"/>
          <w:shd w:val="clear" w:color="auto" w:fill="auto"/>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第一条 支持对象。</w:t>
      </w:r>
      <w:r>
        <w:rPr>
          <w:rFonts w:hint="eastAsia" w:ascii="仿宋_GB2312" w:hAnsi="仿宋_GB2312" w:eastAsia="仿宋_GB2312" w:cs="仿宋_GB2312"/>
          <w:bCs w:val="0"/>
          <w:color w:val="auto"/>
          <w:kern w:val="0"/>
          <w:sz w:val="32"/>
          <w:szCs w:val="32"/>
          <w:highlight w:val="none"/>
          <w:shd w:val="clear" w:color="auto" w:fill="auto"/>
          <w:lang w:val="en-US" w:eastAsia="zh-CN" w:bidi="ar-SA"/>
        </w:rPr>
        <w:t>本办法适用于依法登记注册，且无安全生产事故、无严重失信行为记录的企业。</w:t>
      </w:r>
    </w:p>
    <w:p>
      <w:pPr>
        <w:pStyle w:val="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仿宋_GB2312" w:eastAsia="仿宋_GB2312" w:cs="仿宋_GB2312"/>
          <w:bCs w:val="0"/>
          <w:color w:val="auto"/>
          <w:kern w:val="0"/>
          <w:sz w:val="32"/>
          <w:szCs w:val="32"/>
          <w:highlight w:val="none"/>
          <w:shd w:val="clear" w:color="auto" w:fill="auto"/>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第二条 支持方向。</w:t>
      </w:r>
      <w:r>
        <w:rPr>
          <w:rFonts w:hint="eastAsia" w:ascii="仿宋_GB2312" w:hAnsi="仿宋_GB2312" w:eastAsia="仿宋_GB2312" w:cs="仿宋_GB2312"/>
          <w:bCs w:val="0"/>
          <w:color w:val="auto"/>
          <w:kern w:val="0"/>
          <w:sz w:val="32"/>
          <w:szCs w:val="32"/>
          <w:highlight w:val="none"/>
          <w:shd w:val="clear" w:color="auto" w:fill="auto"/>
          <w:lang w:val="en-US" w:eastAsia="zh-CN" w:bidi="ar-SA"/>
        </w:rPr>
        <w:t>重点支持医药健康、先进能源、先进制造、新一代信息技术、现代服务业等重点产业相关领域独角兽企业、专精特新企业培育与发展。</w:t>
      </w:r>
    </w:p>
    <w:p>
      <w:pPr>
        <w:pStyle w:val="2"/>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仿宋_GB2312" w:eastAsia="仿宋_GB2312" w:cs="仿宋_GB2312"/>
          <w:bCs w:val="0"/>
          <w:color w:val="auto"/>
          <w:kern w:val="0"/>
          <w:sz w:val="32"/>
          <w:szCs w:val="32"/>
          <w:highlight w:val="none"/>
          <w:shd w:val="clear" w:color="auto" w:fill="auto"/>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第三条 支持方式。</w:t>
      </w:r>
      <w:r>
        <w:rPr>
          <w:rFonts w:hint="eastAsia" w:ascii="仿宋_GB2312" w:hAnsi="仿宋_GB2312" w:eastAsia="仿宋_GB2312" w:cs="仿宋_GB2312"/>
          <w:bCs w:val="0"/>
          <w:color w:val="auto"/>
          <w:kern w:val="0"/>
          <w:sz w:val="32"/>
          <w:szCs w:val="32"/>
          <w:highlight w:val="none"/>
          <w:shd w:val="clear" w:color="auto" w:fill="auto"/>
          <w:lang w:val="en-US" w:eastAsia="zh-CN" w:bidi="ar-SA"/>
        </w:rPr>
        <w:t>设立独角兽企业、专精特新企业培育发展专项资金，根据实际情况综合采取奖励、补贴等方式对企业进行支持。</w:t>
      </w:r>
    </w:p>
    <w:p>
      <w:pPr>
        <w:pStyle w:val="2"/>
        <w:keepNext w:val="0"/>
        <w:keepLines w:val="0"/>
        <w:pageBreakBefore w:val="0"/>
        <w:shd w:val="clear" w:color="auto" w:fill="auto"/>
        <w:kinsoku/>
        <w:wordWrap/>
        <w:overflowPunct/>
        <w:topLinePunct w:val="0"/>
        <w:bidi w:val="0"/>
        <w:spacing w:line="560" w:lineRule="exact"/>
        <w:ind w:right="0" w:rightChars="0"/>
        <w:rPr>
          <w:rFonts w:hint="eastAsia"/>
          <w:color w:val="auto"/>
          <w:highlight w:val="none"/>
          <w:lang w:eastAsia="zh-CN"/>
        </w:rPr>
      </w:pPr>
    </w:p>
    <w:p>
      <w:pPr>
        <w:keepNext w:val="0"/>
        <w:keepLines w:val="0"/>
        <w:pageBreakBefore w:val="0"/>
        <w:widowControl w:val="0"/>
        <w:numPr>
          <w:ilvl w:val="0"/>
          <w:numId w:val="2"/>
        </w:numPr>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 加快企业梯度培育</w:t>
      </w:r>
    </w:p>
    <w:p>
      <w:pPr>
        <w:pStyle w:val="2"/>
        <w:numPr>
          <w:ilvl w:val="0"/>
          <w:numId w:val="0"/>
        </w:numPr>
        <w:rPr>
          <w:rFonts w:hint="eastAsia"/>
          <w:color w:val="auto"/>
          <w:highlight w:val="none"/>
          <w:lang w:val="en-US" w:eastAsia="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仿宋_GB2312" w:eastAsia="仿宋_GB2312" w:cs="仿宋_GB2312"/>
          <w:bCs w:val="0"/>
          <w:color w:val="auto"/>
          <w:kern w:val="0"/>
          <w:sz w:val="32"/>
          <w:szCs w:val="32"/>
          <w:highlight w:val="none"/>
          <w:shd w:val="clear" w:color="auto" w:fill="auto"/>
          <w:lang w:val="zh-CN" w:eastAsia="zh-CN" w:bidi="ar-SA"/>
        </w:rPr>
      </w:pPr>
      <w:r>
        <w:rPr>
          <w:rFonts w:hint="eastAsia" w:ascii="楷体_GB2312" w:hAnsi="楷体_GB2312" w:eastAsia="楷体_GB2312" w:cs="楷体_GB2312"/>
          <w:b/>
          <w:bCs/>
          <w:color w:val="auto"/>
          <w:kern w:val="0"/>
          <w:sz w:val="32"/>
          <w:szCs w:val="32"/>
          <w:highlight w:val="none"/>
          <w:lang w:val="zh-CN" w:eastAsia="zh-CN" w:bidi="ar-SA"/>
        </w:rPr>
        <w:t xml:space="preserve">第四条 </w:t>
      </w:r>
      <w:r>
        <w:rPr>
          <w:rFonts w:hint="eastAsia" w:ascii="仿宋_GB2312" w:hAnsi="仿宋_GB2312" w:eastAsia="仿宋_GB2312" w:cs="仿宋_GB2312"/>
          <w:bCs w:val="0"/>
          <w:color w:val="auto"/>
          <w:kern w:val="0"/>
          <w:sz w:val="32"/>
          <w:szCs w:val="32"/>
          <w:highlight w:val="none"/>
          <w:shd w:val="clear" w:color="auto" w:fill="auto"/>
          <w:lang w:val="zh-CN" w:eastAsia="zh-CN" w:bidi="ar-SA"/>
        </w:rPr>
        <w:t>建立独角兽企业培育库，遴选一批高成长性、高估值的潜在独角兽企业，纳入独角兽企业培育库。按照“一企一档、分级培育”的原则开展精准服务。</w:t>
      </w: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bCs w:val="0"/>
          <w:color w:val="auto"/>
          <w:kern w:val="0"/>
          <w:sz w:val="32"/>
          <w:szCs w:val="32"/>
          <w:highlight w:val="none"/>
          <w:shd w:val="clear" w:color="auto" w:fill="auto"/>
          <w:lang w:val="zh-CN" w:eastAsia="zh-CN" w:bidi="ar-SA"/>
        </w:rPr>
      </w:pPr>
      <w:r>
        <w:rPr>
          <w:rFonts w:hint="eastAsia" w:ascii="仿宋_GB2312" w:hAnsi="仿宋_GB2312" w:eastAsia="仿宋_GB2312" w:cs="仿宋_GB2312"/>
          <w:bCs w:val="0"/>
          <w:color w:val="auto"/>
          <w:kern w:val="0"/>
          <w:sz w:val="32"/>
          <w:szCs w:val="32"/>
          <w:highlight w:val="none"/>
          <w:shd w:val="clear" w:color="auto" w:fill="auto"/>
          <w:lang w:val="zh-CN" w:eastAsia="zh-CN" w:bidi="ar-SA"/>
        </w:rPr>
        <w:t>建立专精特新企业培育库，遴选一批创新能力强、专注细分市场、成长性好的优质中小企业，加强分类指导和分级培育，构建创新型中小企业、专精特新中小企业、国家专精特新“小巨人”企业梯度培育体系。</w:t>
      </w: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仿宋_GB2312" w:eastAsia="仿宋_GB2312" w:cs="仿宋_GB2312"/>
          <w:bCs w:val="0"/>
          <w:color w:val="auto"/>
          <w:kern w:val="0"/>
          <w:sz w:val="32"/>
          <w:szCs w:val="32"/>
          <w:highlight w:val="none"/>
          <w:shd w:val="clear" w:color="auto" w:fill="auto"/>
          <w:lang w:val="zh-CN" w:eastAsia="zh-CN" w:bidi="ar-SA"/>
        </w:rPr>
      </w:pPr>
      <w:r>
        <w:rPr>
          <w:rFonts w:hint="eastAsia" w:ascii="楷体_GB2312" w:hAnsi="楷体_GB2312" w:eastAsia="楷体_GB2312" w:cs="楷体_GB2312"/>
          <w:b/>
          <w:bCs/>
          <w:color w:val="auto"/>
          <w:kern w:val="0"/>
          <w:sz w:val="32"/>
          <w:szCs w:val="32"/>
          <w:highlight w:val="none"/>
          <w:lang w:val="zh-CN" w:eastAsia="zh-CN" w:bidi="ar-SA"/>
        </w:rPr>
        <w:t xml:space="preserve">第五条  </w:t>
      </w:r>
      <w:r>
        <w:rPr>
          <w:rFonts w:hint="eastAsia" w:ascii="仿宋_GB2312" w:hAnsi="仿宋_GB2312" w:eastAsia="仿宋_GB2312" w:cs="仿宋_GB2312"/>
          <w:bCs w:val="0"/>
          <w:color w:val="auto"/>
          <w:kern w:val="0"/>
          <w:sz w:val="32"/>
          <w:szCs w:val="32"/>
          <w:highlight w:val="none"/>
          <w:shd w:val="clear" w:color="auto" w:fill="auto"/>
          <w:lang w:val="zh-CN" w:eastAsia="zh-CN" w:bidi="ar-SA"/>
        </w:rPr>
        <w:t>对</w:t>
      </w:r>
      <w:r>
        <w:rPr>
          <w:rFonts w:hint="eastAsia" w:ascii="仿宋_GB2312" w:hAnsi="仿宋_GB2312" w:eastAsia="仿宋_GB2312" w:cs="仿宋_GB2312"/>
          <w:bCs w:val="0"/>
          <w:color w:val="auto"/>
          <w:kern w:val="0"/>
          <w:sz w:val="32"/>
          <w:szCs w:val="32"/>
          <w:highlight w:val="none"/>
          <w:shd w:val="clear" w:color="auto" w:fill="auto"/>
          <w:lang w:val="en-US" w:eastAsia="zh-CN" w:bidi="ar-SA"/>
        </w:rPr>
        <w:t>新认定</w:t>
      </w:r>
      <w:r>
        <w:rPr>
          <w:rFonts w:hint="eastAsia" w:ascii="仿宋_GB2312" w:hAnsi="仿宋_GB2312" w:eastAsia="仿宋_GB2312" w:cs="仿宋_GB2312"/>
          <w:bCs w:val="0"/>
          <w:color w:val="auto"/>
          <w:kern w:val="0"/>
          <w:sz w:val="32"/>
          <w:szCs w:val="32"/>
          <w:highlight w:val="none"/>
          <w:shd w:val="clear" w:color="auto" w:fill="auto"/>
          <w:lang w:val="zh-CN" w:eastAsia="zh-CN" w:bidi="ar-SA"/>
        </w:rPr>
        <w:t>的潜在独角兽企业、独角兽企业，分别给予 200 万元、400 万元的一次性资金支持。潜在独角兽企业经过培育成长，三年内被列入权威独角兽企业榜单的，给予一次性 200 万元的资金支持。对连续三年列入权威独角兽企业榜单，且估值保持持续增长的独角兽企业，再给予一次性 300 万元奖励。</w:t>
      </w: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bCs w:val="0"/>
          <w:color w:val="auto"/>
          <w:kern w:val="0"/>
          <w:sz w:val="32"/>
          <w:szCs w:val="32"/>
          <w:highlight w:val="none"/>
          <w:shd w:val="clear" w:color="auto" w:fill="auto"/>
          <w:lang w:val="zh-CN" w:eastAsia="zh-CN" w:bidi="ar-SA"/>
        </w:rPr>
      </w:pPr>
      <w:r>
        <w:rPr>
          <w:rFonts w:hint="eastAsia" w:ascii="仿宋_GB2312" w:hAnsi="仿宋_GB2312" w:eastAsia="仿宋_GB2312" w:cs="仿宋_GB2312"/>
          <w:bCs w:val="0"/>
          <w:color w:val="auto"/>
          <w:kern w:val="0"/>
          <w:sz w:val="32"/>
          <w:szCs w:val="32"/>
          <w:highlight w:val="none"/>
          <w:shd w:val="clear" w:color="auto" w:fill="auto"/>
          <w:lang w:val="zh-CN" w:eastAsia="zh-CN" w:bidi="ar-SA"/>
        </w:rPr>
        <w:t>对</w:t>
      </w:r>
      <w:r>
        <w:rPr>
          <w:rFonts w:hint="eastAsia" w:ascii="仿宋_GB2312" w:hAnsi="仿宋_GB2312" w:eastAsia="仿宋_GB2312" w:cs="仿宋_GB2312"/>
          <w:bCs w:val="0"/>
          <w:color w:val="auto"/>
          <w:kern w:val="0"/>
          <w:sz w:val="32"/>
          <w:szCs w:val="32"/>
          <w:highlight w:val="none"/>
          <w:shd w:val="clear" w:color="auto" w:fill="auto"/>
          <w:lang w:val="en-US" w:eastAsia="zh-CN" w:bidi="ar-SA"/>
        </w:rPr>
        <w:t>新认定</w:t>
      </w:r>
      <w:r>
        <w:rPr>
          <w:rFonts w:hint="eastAsia" w:ascii="仿宋_GB2312" w:hAnsi="仿宋_GB2312" w:eastAsia="仿宋_GB2312" w:cs="仿宋_GB2312"/>
          <w:bCs w:val="0"/>
          <w:color w:val="auto"/>
          <w:kern w:val="0"/>
          <w:sz w:val="32"/>
          <w:szCs w:val="32"/>
          <w:highlight w:val="none"/>
          <w:shd w:val="clear" w:color="auto" w:fill="auto"/>
          <w:lang w:val="zh-CN" w:eastAsia="zh-CN" w:bidi="ar-SA"/>
        </w:rPr>
        <w:t>的专精特新中小企业、国家专精特新“小巨人”企业，分别给予 10 万元、50 万元的一次性资金支持。专精特新中小企业经培育后认定为国家专精特新“小巨人”企业的，再给予 40 万元晋级差额补贴。对于实施《优质中小企业梯度培育管理暂行办法》前获评的专精特新中小企业、国家专精特新“小巨人”企业，经复核通过后，视为首次获评。</w:t>
      </w: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bCs w:val="0"/>
          <w:color w:val="auto"/>
          <w:kern w:val="0"/>
          <w:sz w:val="32"/>
          <w:szCs w:val="32"/>
          <w:highlight w:val="none"/>
          <w:shd w:val="clear" w:color="auto" w:fill="auto"/>
          <w:lang w:val="zh-CN" w:eastAsia="zh-CN" w:bidi="ar-SA"/>
        </w:rPr>
      </w:pPr>
    </w:p>
    <w:p>
      <w:pPr>
        <w:keepNext w:val="0"/>
        <w:keepLines w:val="0"/>
        <w:pageBreakBefore w:val="0"/>
        <w:widowControl w:val="0"/>
        <w:numPr>
          <w:ilvl w:val="0"/>
          <w:numId w:val="2"/>
        </w:numPr>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 支持企业创新发展</w:t>
      </w:r>
    </w:p>
    <w:p>
      <w:pPr>
        <w:pStyle w:val="2"/>
        <w:numPr>
          <w:ilvl w:val="0"/>
          <w:numId w:val="0"/>
        </w:numPr>
        <w:rPr>
          <w:rFonts w:hint="eastAsia"/>
          <w:color w:val="auto"/>
          <w:highlight w:val="none"/>
          <w:lang w:val="en-US" w:eastAsia="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仿宋_GB2312" w:eastAsia="仿宋_GB2312" w:cs="仿宋_GB2312"/>
          <w:bCs w:val="0"/>
          <w:color w:val="auto"/>
          <w:spacing w:val="-6"/>
          <w:kern w:val="0"/>
          <w:sz w:val="32"/>
          <w:szCs w:val="32"/>
          <w:highlight w:val="none"/>
          <w:shd w:val="clear" w:color="auto" w:fill="auto"/>
          <w:lang w:val="en-US" w:eastAsia="zh-CN" w:bidi="ar-SA"/>
        </w:rPr>
      </w:pPr>
      <w:r>
        <w:rPr>
          <w:rFonts w:hint="eastAsia" w:ascii="楷体_GB2312" w:hAnsi="楷体_GB2312" w:eastAsia="楷体_GB2312" w:cs="楷体_GB2312"/>
          <w:b/>
          <w:bCs/>
          <w:color w:val="auto"/>
          <w:kern w:val="0"/>
          <w:sz w:val="32"/>
          <w:szCs w:val="32"/>
          <w:highlight w:val="none"/>
          <w:lang w:val="zh-CN" w:eastAsia="zh-CN" w:bidi="ar-SA"/>
        </w:rPr>
        <w:t xml:space="preserve">第六条 </w:t>
      </w:r>
      <w:r>
        <w:rPr>
          <w:rFonts w:hint="eastAsia" w:ascii="仿宋_GB2312" w:hAnsi="仿宋_GB2312" w:eastAsia="仿宋_GB2312" w:cs="仿宋_GB2312"/>
          <w:bCs w:val="0"/>
          <w:color w:val="auto"/>
          <w:spacing w:val="-6"/>
          <w:kern w:val="0"/>
          <w:sz w:val="32"/>
          <w:szCs w:val="32"/>
          <w:highlight w:val="none"/>
          <w:shd w:val="clear" w:color="auto" w:fill="auto"/>
          <w:lang w:val="en-US" w:eastAsia="zh-CN" w:bidi="ar-SA"/>
        </w:rPr>
        <w:t>对三年研发费用连续增长且年均增长10%以上、上年度研发费用达到500万元（含）以上且增长率15%以上的</w:t>
      </w:r>
      <w:r>
        <w:rPr>
          <w:rFonts w:hint="eastAsia" w:ascii="仿宋_GB2312" w:hAnsi="仿宋_GB2312" w:eastAsia="仿宋_GB2312" w:cs="仿宋_GB2312"/>
          <w:bCs w:val="0"/>
          <w:color w:val="auto"/>
          <w:kern w:val="0"/>
          <w:sz w:val="32"/>
          <w:szCs w:val="32"/>
          <w:highlight w:val="none"/>
          <w:shd w:val="clear" w:color="auto" w:fill="auto"/>
          <w:lang w:val="zh-CN" w:eastAsia="zh-CN" w:bidi="ar-SA"/>
        </w:rPr>
        <w:t>独角兽企业、潜在独角兽企业、</w:t>
      </w:r>
      <w:r>
        <w:rPr>
          <w:rFonts w:hint="eastAsia" w:ascii="仿宋_GB2312" w:hAnsi="仿宋_GB2312" w:eastAsia="仿宋_GB2312" w:cs="仿宋_GB2312"/>
          <w:bCs w:val="0"/>
          <w:color w:val="auto"/>
          <w:kern w:val="0"/>
          <w:sz w:val="32"/>
          <w:szCs w:val="32"/>
          <w:highlight w:val="none"/>
          <w:shd w:val="clear" w:color="auto" w:fill="auto"/>
          <w:lang w:val="en-US" w:eastAsia="zh-CN" w:bidi="ar-SA"/>
        </w:rPr>
        <w:t>专精特新“小巨人</w:t>
      </w:r>
      <w:bookmarkStart w:id="2" w:name="_GoBack"/>
      <w:bookmarkEnd w:id="2"/>
      <w:r>
        <w:rPr>
          <w:rFonts w:hint="eastAsia" w:ascii="仿宋_GB2312" w:hAnsi="仿宋_GB2312" w:eastAsia="仿宋_GB2312" w:cs="仿宋_GB2312"/>
          <w:bCs w:val="0"/>
          <w:color w:val="auto"/>
          <w:kern w:val="0"/>
          <w:sz w:val="32"/>
          <w:szCs w:val="32"/>
          <w:highlight w:val="none"/>
          <w:shd w:val="clear" w:color="auto" w:fill="auto"/>
          <w:lang w:val="en-US" w:eastAsia="zh-CN" w:bidi="ar-SA"/>
        </w:rPr>
        <w:t>”</w:t>
      </w:r>
      <w:r>
        <w:rPr>
          <w:rFonts w:hint="eastAsia" w:ascii="仿宋_GB2312" w:hAnsi="仿宋_GB2312" w:eastAsia="仿宋_GB2312" w:cs="仿宋_GB2312"/>
          <w:bCs w:val="0"/>
          <w:color w:val="auto"/>
          <w:spacing w:val="-6"/>
          <w:kern w:val="0"/>
          <w:sz w:val="32"/>
          <w:szCs w:val="32"/>
          <w:highlight w:val="none"/>
          <w:shd w:val="clear" w:color="auto" w:fill="auto"/>
          <w:lang w:val="en-US" w:eastAsia="zh-CN" w:bidi="ar-SA"/>
        </w:rPr>
        <w:t>企业，按照企业上年度研发费用增量的10%给予资金支持，年度支持资金总额不超过200万元。</w:t>
      </w: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仿宋_GB2312" w:eastAsia="仿宋_GB2312" w:cs="仿宋_GB2312"/>
          <w:bCs w:val="0"/>
          <w:color w:val="auto"/>
          <w:kern w:val="0"/>
          <w:sz w:val="32"/>
          <w:szCs w:val="32"/>
          <w:highlight w:val="none"/>
          <w:shd w:val="clear" w:color="auto" w:fill="auto"/>
          <w:lang w:val="zh-CN" w:eastAsia="zh-CN" w:bidi="ar-SA"/>
        </w:rPr>
      </w:pPr>
      <w:r>
        <w:rPr>
          <w:rFonts w:hint="eastAsia" w:ascii="楷体_GB2312" w:hAnsi="楷体_GB2312" w:eastAsia="楷体_GB2312" w:cs="楷体_GB2312"/>
          <w:b/>
          <w:bCs/>
          <w:color w:val="auto"/>
          <w:kern w:val="0"/>
          <w:sz w:val="32"/>
          <w:szCs w:val="32"/>
          <w:highlight w:val="none"/>
          <w:lang w:val="zh-CN" w:eastAsia="zh-CN" w:bidi="ar-SA"/>
        </w:rPr>
        <w:t xml:space="preserve">第七条 </w:t>
      </w:r>
      <w:r>
        <w:rPr>
          <w:rFonts w:hint="eastAsia" w:ascii="仿宋_GB2312" w:hAnsi="仿宋_GB2312" w:eastAsia="仿宋_GB2312" w:cs="仿宋_GB2312"/>
          <w:bCs w:val="0"/>
          <w:color w:val="auto"/>
          <w:kern w:val="0"/>
          <w:sz w:val="32"/>
          <w:szCs w:val="32"/>
          <w:highlight w:val="none"/>
          <w:shd w:val="clear" w:color="auto" w:fill="auto"/>
          <w:lang w:val="zh-CN" w:eastAsia="zh-CN" w:bidi="ar-SA"/>
        </w:rPr>
        <w:t>支持独角兽企业、潜在独角兽企业、专精特新企业以“揭榜挂帅”的形式承接国家级、市级重大专项，按照企业年度获得专项资金总额的50%，给予最高不超过300 万元的资金支持。</w:t>
      </w: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bCs w:val="0"/>
          <w:color w:val="auto"/>
          <w:kern w:val="0"/>
          <w:sz w:val="32"/>
          <w:szCs w:val="32"/>
          <w:highlight w:val="none"/>
          <w:shd w:val="clear" w:color="auto" w:fill="auto"/>
          <w:lang w:val="zh-CN" w:eastAsia="zh-CN" w:bidi="ar-SA"/>
        </w:rPr>
      </w:pPr>
      <w:r>
        <w:rPr>
          <w:rFonts w:hint="eastAsia" w:ascii="仿宋_GB2312" w:hAnsi="仿宋_GB2312" w:eastAsia="仿宋_GB2312" w:cs="仿宋_GB2312"/>
          <w:bCs w:val="0"/>
          <w:color w:val="auto"/>
          <w:kern w:val="0"/>
          <w:sz w:val="32"/>
          <w:szCs w:val="32"/>
          <w:highlight w:val="none"/>
          <w:shd w:val="clear" w:color="auto" w:fill="auto"/>
          <w:lang w:val="zh-CN" w:eastAsia="zh-CN" w:bidi="ar-SA"/>
        </w:rPr>
        <w:t>支持独角兽企业、潜在独角兽企业、专精特新企业与在昌高等院校、科研机构合作建设市级及以上创新平台，对于总投资额超过 100 万元的平台，按照其固定资产投资总额的 10%，给予最高不超过 100 万元的一次性资金支持。</w:t>
      </w: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仿宋_GB2312" w:eastAsia="仿宋_GB2312" w:cs="仿宋_GB2312"/>
          <w:bCs w:val="0"/>
          <w:color w:val="auto"/>
          <w:kern w:val="0"/>
          <w:sz w:val="32"/>
          <w:szCs w:val="32"/>
          <w:highlight w:val="none"/>
          <w:shd w:val="clear" w:color="auto" w:fill="auto"/>
          <w:lang w:val="zh-CN" w:eastAsia="zh-CN" w:bidi="ar-SA"/>
        </w:rPr>
      </w:pPr>
      <w:r>
        <w:rPr>
          <w:rFonts w:hint="eastAsia" w:ascii="楷体_GB2312" w:hAnsi="楷体_GB2312" w:eastAsia="楷体_GB2312" w:cs="楷体_GB2312"/>
          <w:b/>
          <w:bCs/>
          <w:color w:val="auto"/>
          <w:kern w:val="0"/>
          <w:sz w:val="32"/>
          <w:szCs w:val="32"/>
          <w:highlight w:val="none"/>
          <w:lang w:val="zh-CN" w:eastAsia="zh-CN" w:bidi="ar-SA"/>
        </w:rPr>
        <w:t xml:space="preserve">第八条 </w:t>
      </w:r>
      <w:r>
        <w:rPr>
          <w:rFonts w:hint="eastAsia" w:ascii="仿宋_GB2312" w:hAnsi="仿宋_GB2312" w:eastAsia="仿宋_GB2312" w:cs="仿宋_GB2312"/>
          <w:bCs w:val="0"/>
          <w:color w:val="auto"/>
          <w:kern w:val="0"/>
          <w:sz w:val="32"/>
          <w:szCs w:val="32"/>
          <w:highlight w:val="none"/>
          <w:shd w:val="clear" w:color="auto" w:fill="auto"/>
          <w:lang w:val="zh-CN" w:eastAsia="zh-CN" w:bidi="ar-SA"/>
        </w:rPr>
        <w:t>支持专精特新企业实施“数智转型” 改造升级，按照实际完成投资额（设备、外购技术及软件投入）的 20%，给予最高不超过 200 万元的一次性资金支持。</w:t>
      </w: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仿宋_GB2312" w:eastAsia="仿宋_GB2312" w:cs="仿宋_GB2312"/>
          <w:bCs w:val="0"/>
          <w:color w:val="auto"/>
          <w:kern w:val="0"/>
          <w:sz w:val="32"/>
          <w:szCs w:val="32"/>
          <w:highlight w:val="none"/>
          <w:shd w:val="clear" w:color="auto" w:fill="auto"/>
          <w:lang w:val="zh-CN" w:eastAsia="zh-CN" w:bidi="ar-SA"/>
        </w:rPr>
      </w:pPr>
      <w:r>
        <w:rPr>
          <w:rFonts w:hint="eastAsia" w:ascii="楷体_GB2312" w:hAnsi="楷体_GB2312" w:eastAsia="楷体_GB2312" w:cs="楷体_GB2312"/>
          <w:b/>
          <w:bCs/>
          <w:color w:val="auto"/>
          <w:kern w:val="0"/>
          <w:sz w:val="32"/>
          <w:szCs w:val="32"/>
          <w:highlight w:val="none"/>
          <w:lang w:val="zh-CN" w:eastAsia="zh-CN" w:bidi="ar-SA"/>
        </w:rPr>
        <w:t>第</w:t>
      </w:r>
      <w:r>
        <w:rPr>
          <w:rFonts w:hint="eastAsia" w:ascii="楷体_GB2312" w:hAnsi="楷体_GB2312" w:eastAsia="楷体_GB2312" w:cs="楷体_GB2312"/>
          <w:b/>
          <w:bCs/>
          <w:color w:val="auto"/>
          <w:kern w:val="0"/>
          <w:sz w:val="32"/>
          <w:szCs w:val="32"/>
          <w:highlight w:val="none"/>
          <w:lang w:val="en-US" w:eastAsia="zh-CN" w:bidi="ar-SA"/>
        </w:rPr>
        <w:t>九</w:t>
      </w:r>
      <w:r>
        <w:rPr>
          <w:rFonts w:hint="eastAsia" w:ascii="楷体_GB2312" w:hAnsi="楷体_GB2312" w:eastAsia="楷体_GB2312" w:cs="楷体_GB2312"/>
          <w:b/>
          <w:bCs/>
          <w:color w:val="auto"/>
          <w:kern w:val="0"/>
          <w:sz w:val="32"/>
          <w:szCs w:val="32"/>
          <w:highlight w:val="none"/>
          <w:lang w:val="zh-CN" w:eastAsia="zh-CN" w:bidi="ar-SA"/>
        </w:rPr>
        <w:t xml:space="preserve">条 </w:t>
      </w:r>
      <w:r>
        <w:rPr>
          <w:rFonts w:hint="eastAsia" w:ascii="仿宋_GB2312" w:hAnsi="仿宋_GB2312" w:eastAsia="仿宋_GB2312" w:cs="仿宋_GB2312"/>
          <w:bCs w:val="0"/>
          <w:color w:val="auto"/>
          <w:kern w:val="0"/>
          <w:sz w:val="32"/>
          <w:szCs w:val="32"/>
          <w:highlight w:val="none"/>
          <w:shd w:val="clear" w:color="auto" w:fill="auto"/>
          <w:lang w:val="zh-CN" w:eastAsia="zh-CN" w:bidi="ar-SA"/>
        </w:rPr>
        <w:t>支持独角兽企业、潜在独角兽企业购买已纳入首都科技条件平台区内创新主体的检验检测、临床试验、中试验证等科技服务，按照市级科技主管部门发放创新券额度的 50%给予支持，每家企业年度支持资金总额不超过 100 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第四章 支持企业构建产业生态</w:t>
      </w:r>
    </w:p>
    <w:p>
      <w:pPr>
        <w:pStyle w:val="2"/>
        <w:numPr>
          <w:ilvl w:val="0"/>
          <w:numId w:val="0"/>
        </w:numPr>
        <w:rPr>
          <w:rFonts w:hint="eastAsia"/>
          <w:color w:val="auto"/>
          <w:highlight w:val="none"/>
          <w:lang w:val="en-US" w:eastAsia="zh-CN"/>
        </w:rPr>
      </w:pP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pPr>
      <w:r>
        <w:rPr>
          <w:rFonts w:hint="eastAsia" w:ascii="楷体_GB2312" w:hAnsi="楷体_GB2312" w:eastAsia="楷体_GB2312" w:cs="楷体_GB2312"/>
          <w:b/>
          <w:bCs/>
          <w:color w:val="auto"/>
          <w:kern w:val="0"/>
          <w:sz w:val="32"/>
          <w:szCs w:val="32"/>
          <w:highlight w:val="none"/>
          <w:lang w:val="zh-CN" w:eastAsia="zh-CN" w:bidi="ar-SA"/>
        </w:rPr>
        <w:t xml:space="preserve">第十条 </w:t>
      </w:r>
      <w:r>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t>支持独角兽企业、潜在独角兽企业、专精特新企 业牵头或参与智慧城市、智慧园区、智慧政务、智慧农业、智慧医院等领域场景建设。鼓励央企国企在重大项目、重大工程中采用分包、联合体中标等方式面向独角兽企业、潜在独角兽企业、专精特新企业发布应用场景需求。</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pPr>
      <w:r>
        <w:rPr>
          <w:rFonts w:hint="eastAsia" w:ascii="楷体_GB2312" w:hAnsi="楷体_GB2312" w:eastAsia="楷体_GB2312" w:cs="楷体_GB2312"/>
          <w:b/>
          <w:bCs/>
          <w:color w:val="auto"/>
          <w:kern w:val="0"/>
          <w:sz w:val="32"/>
          <w:szCs w:val="32"/>
          <w:highlight w:val="none"/>
          <w:lang w:val="zh-CN" w:eastAsia="zh-CN" w:bidi="ar-SA"/>
        </w:rPr>
        <w:t>第十</w:t>
      </w:r>
      <w:r>
        <w:rPr>
          <w:rFonts w:hint="eastAsia" w:ascii="楷体_GB2312" w:hAnsi="楷体_GB2312" w:eastAsia="楷体_GB2312" w:cs="楷体_GB2312"/>
          <w:b/>
          <w:bCs/>
          <w:color w:val="auto"/>
          <w:kern w:val="0"/>
          <w:sz w:val="32"/>
          <w:szCs w:val="32"/>
          <w:highlight w:val="none"/>
          <w:lang w:val="en-US" w:eastAsia="zh-CN" w:bidi="ar-SA"/>
        </w:rPr>
        <w:t>一</w:t>
      </w:r>
      <w:r>
        <w:rPr>
          <w:rFonts w:hint="eastAsia" w:ascii="楷体_GB2312" w:hAnsi="楷体_GB2312" w:eastAsia="楷体_GB2312" w:cs="楷体_GB2312"/>
          <w:b/>
          <w:bCs/>
          <w:color w:val="auto"/>
          <w:kern w:val="0"/>
          <w:sz w:val="32"/>
          <w:szCs w:val="32"/>
          <w:highlight w:val="none"/>
          <w:lang w:val="zh-CN" w:eastAsia="zh-CN" w:bidi="ar-SA"/>
        </w:rPr>
        <w:t xml:space="preserve">条 </w:t>
      </w:r>
      <w:r>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t>支持独角兽企业、潜在独角兽企业、专精特新企业首台（套）重大技术装备应用和推广，对纳入工信部、北京市首台（套）重大技术装备目录的新产品，每项给予 100 万元的一次性资金支持，每家企业年度支持资金总额不超过 200 万元。</w:t>
      </w:r>
    </w:p>
    <w:p>
      <w:pPr>
        <w:pStyle w:val="5"/>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right="0" w:rightChars="0" w:firstLine="643" w:firstLineChars="200"/>
        <w:textAlignment w:val="auto"/>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pPr>
      <w:r>
        <w:rPr>
          <w:rFonts w:hint="eastAsia" w:ascii="楷体_GB2312" w:hAnsi="楷体_GB2312" w:eastAsia="楷体_GB2312" w:cs="楷体_GB2312"/>
          <w:b/>
          <w:bCs/>
          <w:color w:val="auto"/>
          <w:kern w:val="0"/>
          <w:sz w:val="32"/>
          <w:szCs w:val="32"/>
          <w:highlight w:val="none"/>
          <w:lang w:val="zh-CN" w:eastAsia="zh-CN" w:bidi="ar-SA"/>
        </w:rPr>
        <w:t>第十</w:t>
      </w:r>
      <w:r>
        <w:rPr>
          <w:rFonts w:hint="eastAsia" w:ascii="楷体_GB2312" w:hAnsi="楷体_GB2312" w:eastAsia="楷体_GB2312" w:cs="楷体_GB2312"/>
          <w:b/>
          <w:bCs/>
          <w:color w:val="auto"/>
          <w:kern w:val="0"/>
          <w:sz w:val="32"/>
          <w:szCs w:val="32"/>
          <w:highlight w:val="none"/>
          <w:lang w:val="en-US" w:eastAsia="zh-CN" w:bidi="ar-SA"/>
        </w:rPr>
        <w:t>二</w:t>
      </w:r>
      <w:r>
        <w:rPr>
          <w:rFonts w:hint="eastAsia" w:ascii="楷体_GB2312" w:hAnsi="楷体_GB2312" w:eastAsia="楷体_GB2312" w:cs="楷体_GB2312"/>
          <w:b/>
          <w:bCs/>
          <w:color w:val="auto"/>
          <w:kern w:val="0"/>
          <w:sz w:val="32"/>
          <w:szCs w:val="32"/>
          <w:highlight w:val="none"/>
          <w:lang w:val="zh-CN" w:eastAsia="zh-CN" w:bidi="ar-SA"/>
        </w:rPr>
        <w:t xml:space="preserve">条 </w:t>
      </w:r>
      <w:r>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t xml:space="preserve">支持独角兽企业、国家专精特新 “小巨人”企业 通过专业分工、服务外包、订单生产、产业联盟等形式，带动中小企业进入其产业链或供应链体系，对年度累计配套供给产品采购额在 </w:t>
      </w:r>
      <w:r>
        <w:rPr>
          <w:rFonts w:hint="eastAsia" w:ascii="仿宋_GB2312" w:hAnsi="仿宋_GB2312" w:eastAsia="仿宋_GB2312" w:cs="仿宋_GB2312"/>
          <w:bCs w:val="0"/>
          <w:color w:val="auto"/>
          <w:spacing w:val="-6"/>
          <w:kern w:val="0"/>
          <w:sz w:val="32"/>
          <w:szCs w:val="32"/>
          <w:highlight w:val="none"/>
          <w:shd w:val="clear" w:color="auto" w:fill="auto"/>
          <w:lang w:val="en-US" w:eastAsia="zh-CN" w:bidi="ar-SA"/>
        </w:rPr>
        <w:t>2000</w:t>
      </w:r>
      <w:r>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t>万元以上的企业，按新增采购额</w:t>
      </w:r>
      <w:r>
        <w:rPr>
          <w:rFonts w:hint="eastAsia" w:ascii="仿宋_GB2312" w:hAnsi="仿宋_GB2312" w:eastAsia="仿宋_GB2312" w:cs="仿宋_GB2312"/>
          <w:b w:val="0"/>
          <w:bCs w:val="0"/>
          <w:color w:val="auto"/>
          <w:spacing w:val="-6"/>
          <w:kern w:val="0"/>
          <w:sz w:val="32"/>
          <w:szCs w:val="32"/>
          <w:highlight w:val="none"/>
          <w:shd w:val="clear" w:color="auto" w:fill="auto"/>
          <w:lang w:val="zh-CN" w:eastAsia="zh-CN" w:bidi="ar-SA"/>
        </w:rPr>
        <w:t>的</w:t>
      </w:r>
      <w:r>
        <w:rPr>
          <w:rFonts w:hint="eastAsia" w:ascii="仿宋_GB2312" w:hAnsi="仿宋_GB2312" w:eastAsia="仿宋_GB2312" w:cs="仿宋_GB2312"/>
          <w:b w:val="0"/>
          <w:bCs w:val="0"/>
          <w:color w:val="auto"/>
          <w:spacing w:val="-6"/>
          <w:kern w:val="0"/>
          <w:sz w:val="32"/>
          <w:szCs w:val="32"/>
          <w:highlight w:val="none"/>
          <w:shd w:val="clear" w:color="auto" w:fill="auto"/>
          <w:lang w:val="en-US" w:eastAsia="zh-CN" w:bidi="ar-SA"/>
        </w:rPr>
        <w:t>5</w:t>
      </w:r>
      <w:r>
        <w:rPr>
          <w:rFonts w:hint="eastAsia" w:ascii="仿宋_GB2312" w:hAnsi="仿宋_GB2312" w:eastAsia="仿宋_GB2312" w:cs="仿宋_GB2312"/>
          <w:b w:val="0"/>
          <w:bCs w:val="0"/>
          <w:color w:val="auto"/>
          <w:spacing w:val="-6"/>
          <w:kern w:val="0"/>
          <w:sz w:val="32"/>
          <w:szCs w:val="32"/>
          <w:highlight w:val="none"/>
          <w:shd w:val="clear" w:color="auto" w:fill="auto"/>
          <w:lang w:val="zh-CN" w:eastAsia="zh-CN" w:bidi="ar-SA"/>
        </w:rPr>
        <w:t>%给</w:t>
      </w:r>
      <w:r>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t>予资金支持，每家企业年度支持资金总额不超过 2000 万元。</w:t>
      </w:r>
    </w:p>
    <w:p>
      <w:pPr>
        <w:pStyle w:val="2"/>
        <w:keepNext w:val="0"/>
        <w:keepLines w:val="0"/>
        <w:pageBreakBefore w:val="0"/>
        <w:shd w:val="clear" w:color="auto" w:fill="auto"/>
        <w:kinsoku/>
        <w:wordWrap/>
        <w:overflowPunct/>
        <w:topLinePunct w:val="0"/>
        <w:bidi w:val="0"/>
        <w:spacing w:line="560" w:lineRule="exact"/>
        <w:ind w:right="0" w:rightChars="0"/>
        <w:rPr>
          <w:rFonts w:hint="default"/>
          <w:color w:val="auto"/>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第五章 强化关键要素支撑</w:t>
      </w:r>
    </w:p>
    <w:p>
      <w:pPr>
        <w:pStyle w:val="2"/>
        <w:keepNext w:val="0"/>
        <w:keepLines w:val="0"/>
        <w:pageBreakBefore w:val="0"/>
        <w:shd w:val="clear" w:color="auto" w:fill="auto"/>
        <w:kinsoku/>
        <w:wordWrap/>
        <w:overflowPunct/>
        <w:topLinePunct w:val="0"/>
        <w:bidi w:val="0"/>
        <w:spacing w:line="560" w:lineRule="exact"/>
        <w:ind w:right="0" w:rightChars="0"/>
        <w:rPr>
          <w:rFonts w:hint="eastAsia"/>
          <w:color w:val="auto"/>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pPr>
      <w:bookmarkStart w:id="0" w:name="OLE_LINK2"/>
      <w:r>
        <w:rPr>
          <w:rFonts w:hint="eastAsia" w:ascii="楷体_GB2312" w:hAnsi="楷体_GB2312" w:eastAsia="楷体_GB2312" w:cs="楷体_GB2312"/>
          <w:b/>
          <w:bCs/>
          <w:color w:val="auto"/>
          <w:kern w:val="0"/>
          <w:sz w:val="32"/>
          <w:szCs w:val="32"/>
          <w:highlight w:val="none"/>
          <w:lang w:val="zh-CN" w:eastAsia="zh-CN" w:bidi="ar-SA"/>
        </w:rPr>
        <w:t>第十</w:t>
      </w:r>
      <w:r>
        <w:rPr>
          <w:rFonts w:hint="eastAsia" w:ascii="楷体_GB2312" w:hAnsi="楷体_GB2312" w:eastAsia="楷体_GB2312" w:cs="楷体_GB2312"/>
          <w:b/>
          <w:bCs/>
          <w:color w:val="auto"/>
          <w:kern w:val="0"/>
          <w:sz w:val="32"/>
          <w:szCs w:val="32"/>
          <w:highlight w:val="none"/>
          <w:lang w:val="en-US" w:eastAsia="zh-CN" w:bidi="ar-SA"/>
        </w:rPr>
        <w:t>三</w:t>
      </w:r>
      <w:r>
        <w:rPr>
          <w:rFonts w:hint="eastAsia" w:ascii="楷体_GB2312" w:hAnsi="楷体_GB2312" w:eastAsia="楷体_GB2312" w:cs="楷体_GB2312"/>
          <w:b/>
          <w:bCs/>
          <w:color w:val="auto"/>
          <w:kern w:val="0"/>
          <w:sz w:val="32"/>
          <w:szCs w:val="32"/>
          <w:highlight w:val="none"/>
          <w:lang w:val="zh-CN" w:eastAsia="zh-CN" w:bidi="ar-SA"/>
        </w:rPr>
        <w:t xml:space="preserve">条 </w:t>
      </w:r>
      <w:r>
        <w:rPr>
          <w:rFonts w:hint="eastAsia" w:ascii="仿宋_GB2312" w:hAnsi="仿宋_GB2312" w:eastAsia="仿宋_GB2312" w:cs="仿宋_GB2312"/>
          <w:bCs w:val="0"/>
          <w:color w:val="auto"/>
          <w:spacing w:val="-6"/>
          <w:kern w:val="0"/>
          <w:sz w:val="32"/>
          <w:szCs w:val="32"/>
          <w:highlight w:val="none"/>
          <w:shd w:val="clear" w:color="auto" w:fill="auto"/>
          <w:lang w:val="en-US" w:eastAsia="zh-CN" w:bidi="ar-SA"/>
        </w:rPr>
        <w:t>聚合金融服务机构资源，为科技企业提供优质融资支持服务。对专精特新企业中的小微企业通过银行贷款方式进行融资的，按照实际支付贷款利息的50%给予贴息（贷款利率高于LPR的，按照LPR计算贴息额）。每家企业每年最高支持金额不超过100万元。</w:t>
      </w:r>
    </w:p>
    <w:bookmarkEnd w:id="0"/>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pPr>
      <w:r>
        <w:rPr>
          <w:rFonts w:hint="eastAsia" w:ascii="楷体_GB2312" w:hAnsi="楷体_GB2312" w:eastAsia="楷体_GB2312" w:cs="楷体_GB2312"/>
          <w:b/>
          <w:bCs/>
          <w:color w:val="auto"/>
          <w:kern w:val="0"/>
          <w:sz w:val="32"/>
          <w:szCs w:val="32"/>
          <w:highlight w:val="none"/>
          <w:lang w:val="zh-CN" w:eastAsia="zh-CN" w:bidi="ar-SA"/>
        </w:rPr>
        <w:t>第十</w:t>
      </w:r>
      <w:r>
        <w:rPr>
          <w:rFonts w:hint="eastAsia" w:ascii="楷体_GB2312" w:hAnsi="楷体_GB2312" w:eastAsia="楷体_GB2312" w:cs="楷体_GB2312"/>
          <w:b/>
          <w:bCs/>
          <w:color w:val="auto"/>
          <w:kern w:val="0"/>
          <w:sz w:val="32"/>
          <w:szCs w:val="32"/>
          <w:highlight w:val="none"/>
          <w:lang w:val="en-US" w:eastAsia="zh-CN" w:bidi="ar-SA"/>
        </w:rPr>
        <w:t>四</w:t>
      </w:r>
      <w:r>
        <w:rPr>
          <w:rFonts w:hint="eastAsia" w:ascii="楷体_GB2312" w:hAnsi="楷体_GB2312" w:eastAsia="楷体_GB2312" w:cs="楷体_GB2312"/>
          <w:b/>
          <w:bCs/>
          <w:color w:val="auto"/>
          <w:kern w:val="0"/>
          <w:sz w:val="32"/>
          <w:szCs w:val="32"/>
          <w:highlight w:val="none"/>
          <w:lang w:val="zh-CN" w:eastAsia="zh-CN" w:bidi="ar-SA"/>
        </w:rPr>
        <w:t xml:space="preserve">条 </w:t>
      </w:r>
      <w:r>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t>支持独角兽企业、潜在独角兽企业、专精特新企业与高等院校、科研机构联合培养人才，强化企业发展人才支撑。通过“科技副总”柔性引才机制，推动在昌高校、科研机构的青年专家到独角兽企业、潜在独角兽企业、专精特新企业任职，开展产学研合作及科技成果转化工作；支持企业申报国家级、市级、区级各类人才计划。根据企业对区域发展的综合贡献，采取梯度配给方式为企业提供人才落户、工作居住证、保障性住房指标，并对重点人才在子女入学、就医方面提供便捷服务。</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bCs w:val="0"/>
          <w:color w:val="auto"/>
          <w:spacing w:val="-6"/>
          <w:kern w:val="0"/>
          <w:sz w:val="32"/>
          <w:szCs w:val="32"/>
          <w:highlight w:val="none"/>
          <w:shd w:val="clear" w:color="auto" w:fill="auto"/>
          <w:lang w:val="en-US" w:eastAsia="zh-CN" w:bidi="ar-SA"/>
        </w:rPr>
      </w:pPr>
      <w:r>
        <w:rPr>
          <w:rFonts w:hint="eastAsia" w:ascii="楷体_GB2312" w:hAnsi="楷体_GB2312" w:eastAsia="楷体_GB2312" w:cs="楷体_GB2312"/>
          <w:b/>
          <w:bCs/>
          <w:color w:val="auto"/>
          <w:kern w:val="0"/>
          <w:sz w:val="32"/>
          <w:szCs w:val="32"/>
          <w:highlight w:val="none"/>
          <w:lang w:val="zh-CN" w:eastAsia="zh-CN" w:bidi="ar-SA"/>
        </w:rPr>
        <w:t>第十</w:t>
      </w:r>
      <w:r>
        <w:rPr>
          <w:rFonts w:hint="eastAsia" w:ascii="楷体_GB2312" w:hAnsi="楷体_GB2312" w:eastAsia="楷体_GB2312" w:cs="楷体_GB2312"/>
          <w:b/>
          <w:bCs/>
          <w:color w:val="auto"/>
          <w:kern w:val="0"/>
          <w:sz w:val="32"/>
          <w:szCs w:val="32"/>
          <w:highlight w:val="none"/>
          <w:lang w:val="en-US" w:eastAsia="zh-CN" w:bidi="ar-SA"/>
        </w:rPr>
        <w:t>五</w:t>
      </w:r>
      <w:r>
        <w:rPr>
          <w:rFonts w:hint="eastAsia" w:ascii="楷体_GB2312" w:hAnsi="楷体_GB2312" w:eastAsia="楷体_GB2312" w:cs="楷体_GB2312"/>
          <w:b/>
          <w:bCs/>
          <w:color w:val="auto"/>
          <w:kern w:val="0"/>
          <w:sz w:val="32"/>
          <w:szCs w:val="32"/>
          <w:highlight w:val="none"/>
          <w:lang w:val="zh-CN" w:eastAsia="zh-CN" w:bidi="ar-SA"/>
        </w:rPr>
        <w:t>条</w:t>
      </w:r>
      <w:r>
        <w:rPr>
          <w:rFonts w:hint="eastAsia" w:ascii="楷体_GB2312" w:hAnsi="楷体_GB2312" w:eastAsia="楷体_GB2312" w:cs="楷体_GB2312"/>
          <w:b/>
          <w:bCs/>
          <w:color w:val="auto"/>
          <w:kern w:val="0"/>
          <w:sz w:val="32"/>
          <w:szCs w:val="32"/>
          <w:highlight w:val="none"/>
          <w:lang w:val="en-US" w:eastAsia="zh-CN" w:bidi="ar-SA"/>
        </w:rPr>
        <w:t xml:space="preserve">  </w:t>
      </w:r>
      <w:r>
        <w:rPr>
          <w:rFonts w:hint="eastAsia" w:ascii="仿宋_GB2312" w:hAnsi="仿宋_GB2312" w:eastAsia="仿宋_GB2312" w:cs="仿宋_GB2312"/>
          <w:bCs w:val="0"/>
          <w:color w:val="auto"/>
          <w:spacing w:val="-6"/>
          <w:kern w:val="0"/>
          <w:sz w:val="32"/>
          <w:szCs w:val="32"/>
          <w:highlight w:val="none"/>
          <w:shd w:val="clear" w:color="auto" w:fill="auto"/>
          <w:lang w:val="en-US" w:eastAsia="zh-CN" w:bidi="ar-SA"/>
        </w:rPr>
        <w:t>保障企业发展空间需求。通过弹性出让、先租后让、租买结合等方式，为独角兽企业、潜在独角兽企业、国家专精特新“小巨人”优先提供产业用地。对独角兽企业、潜在独角兽企业，按照不超过 2 元/平方米/天的标准给予租金补贴，自入驻当年起连续补贴三年。独角兽企业年度租金支持总额不超过 300 万元，潜在独角兽年度租金支持总额不超过200 万元。</w:t>
      </w:r>
    </w:p>
    <w:p>
      <w:pPr>
        <w:pStyle w:val="2"/>
        <w:rPr>
          <w:rFonts w:hint="eastAsia"/>
          <w:color w:val="auto"/>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center"/>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第六章 优化精准服务</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kern w:val="0"/>
          <w:sz w:val="32"/>
          <w:szCs w:val="32"/>
          <w:highlight w:val="none"/>
          <w:lang w:val="en-US" w:eastAsia="zh-CN" w:bidi="ar-SA"/>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pPr>
      <w:r>
        <w:rPr>
          <w:rFonts w:hint="eastAsia" w:ascii="楷体_GB2312" w:hAnsi="楷体_GB2312" w:eastAsia="楷体_GB2312" w:cs="楷体_GB2312"/>
          <w:b/>
          <w:bCs/>
          <w:color w:val="auto"/>
          <w:kern w:val="0"/>
          <w:sz w:val="32"/>
          <w:szCs w:val="32"/>
          <w:highlight w:val="none"/>
          <w:lang w:val="zh-CN" w:eastAsia="zh-CN" w:bidi="ar-SA"/>
        </w:rPr>
        <w:t>第十</w:t>
      </w:r>
      <w:r>
        <w:rPr>
          <w:rFonts w:hint="eastAsia" w:ascii="楷体_GB2312" w:hAnsi="楷体_GB2312" w:eastAsia="楷体_GB2312" w:cs="楷体_GB2312"/>
          <w:b/>
          <w:bCs/>
          <w:color w:val="auto"/>
          <w:kern w:val="0"/>
          <w:sz w:val="32"/>
          <w:szCs w:val="32"/>
          <w:highlight w:val="none"/>
          <w:lang w:val="en-US" w:eastAsia="zh-CN" w:bidi="ar-SA"/>
        </w:rPr>
        <w:t>六</w:t>
      </w:r>
      <w:r>
        <w:rPr>
          <w:rFonts w:hint="eastAsia" w:ascii="楷体_GB2312" w:hAnsi="楷体_GB2312" w:eastAsia="楷体_GB2312" w:cs="楷体_GB2312"/>
          <w:b/>
          <w:bCs/>
          <w:color w:val="auto"/>
          <w:kern w:val="0"/>
          <w:sz w:val="32"/>
          <w:szCs w:val="32"/>
          <w:highlight w:val="none"/>
          <w:lang w:val="zh-CN" w:eastAsia="zh-CN" w:bidi="ar-SA"/>
        </w:rPr>
        <w:t xml:space="preserve">条 </w:t>
      </w:r>
      <w:r>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t>建立区级专精特新企业运行状态监测系统，开展大数据智能分析，为企业提供科技前沿信息、科技资源展示、供求信息发布等公共服务。</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pPr>
      <w:r>
        <w:rPr>
          <w:rFonts w:hint="eastAsia" w:ascii="楷体_GB2312" w:hAnsi="楷体_GB2312" w:eastAsia="楷体_GB2312" w:cs="楷体_GB2312"/>
          <w:b/>
          <w:bCs/>
          <w:color w:val="auto"/>
          <w:kern w:val="0"/>
          <w:sz w:val="32"/>
          <w:szCs w:val="32"/>
          <w:highlight w:val="none"/>
          <w:lang w:val="zh-CN" w:eastAsia="zh-CN" w:bidi="ar-SA"/>
        </w:rPr>
        <w:t>第十</w:t>
      </w:r>
      <w:r>
        <w:rPr>
          <w:rFonts w:hint="eastAsia" w:ascii="楷体_GB2312" w:hAnsi="楷体_GB2312" w:eastAsia="楷体_GB2312" w:cs="楷体_GB2312"/>
          <w:b/>
          <w:bCs/>
          <w:color w:val="auto"/>
          <w:kern w:val="0"/>
          <w:sz w:val="32"/>
          <w:szCs w:val="32"/>
          <w:highlight w:val="none"/>
          <w:lang w:val="en-US" w:eastAsia="zh-CN" w:bidi="ar-SA"/>
        </w:rPr>
        <w:t>七</w:t>
      </w:r>
      <w:r>
        <w:rPr>
          <w:rFonts w:hint="eastAsia" w:ascii="楷体_GB2312" w:hAnsi="楷体_GB2312" w:eastAsia="楷体_GB2312" w:cs="楷体_GB2312"/>
          <w:b/>
          <w:bCs/>
          <w:color w:val="auto"/>
          <w:kern w:val="0"/>
          <w:sz w:val="32"/>
          <w:szCs w:val="32"/>
          <w:highlight w:val="none"/>
          <w:lang w:val="zh-CN" w:eastAsia="zh-CN" w:bidi="ar-SA"/>
        </w:rPr>
        <w:t xml:space="preserve">条 </w:t>
      </w:r>
      <w:r>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t>将独角兽企业、潜在独角兽企业、专精特新企业纳入区级重点企业“服务包”，建立企业成长档案，分级辅导培训。成立独角兽企业服务专班，配备“一对一”服务专员，为企业提供特色化精准服务，构建市区合力上下联动的独角兽企业培育和服务机制。</w:t>
      </w:r>
    </w:p>
    <w:p>
      <w:pPr>
        <w:pStyle w:val="2"/>
        <w:rPr>
          <w:rFonts w:hint="eastAsia"/>
          <w:color w:val="auto"/>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第七章 附则</w:t>
      </w:r>
    </w:p>
    <w:p>
      <w:pPr>
        <w:pStyle w:val="2"/>
        <w:rPr>
          <w:rFonts w:hint="eastAsia"/>
          <w:color w:val="auto"/>
          <w:highlight w:val="none"/>
          <w:lang w:val="en-US" w:eastAsia="zh-CN"/>
        </w:rPr>
      </w:pPr>
    </w:p>
    <w:p>
      <w:pPr>
        <w:pStyle w:val="10"/>
        <w:keepNext w:val="0"/>
        <w:keepLines w:val="0"/>
        <w:pageBreakBefore w:val="0"/>
        <w:widowControl w:val="0"/>
        <w:shd w:val="clear" w:color="auto" w:fill="auto"/>
        <w:kinsoku/>
        <w:wordWrap/>
        <w:overflowPunct/>
        <w:topLinePunct w:val="0"/>
        <w:bidi w:val="0"/>
        <w:adjustRightInd w:val="0"/>
        <w:snapToGrid w:val="0"/>
        <w:spacing w:line="560" w:lineRule="exact"/>
        <w:ind w:right="0" w:rightChars="0" w:firstLine="643" w:firstLineChars="200"/>
        <w:jc w:val="both"/>
        <w:textAlignment w:val="auto"/>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pPr>
      <w:r>
        <w:rPr>
          <w:rFonts w:hint="eastAsia" w:ascii="楷体_GB2312" w:hAnsi="楷体_GB2312" w:eastAsia="楷体_GB2312" w:cs="楷体_GB2312"/>
          <w:b/>
          <w:bCs/>
          <w:color w:val="auto"/>
          <w:kern w:val="0"/>
          <w:sz w:val="32"/>
          <w:szCs w:val="32"/>
          <w:highlight w:val="none"/>
          <w:lang w:val="zh-CN" w:eastAsia="zh-CN" w:bidi="ar-SA"/>
        </w:rPr>
        <w:t>第十</w:t>
      </w:r>
      <w:r>
        <w:rPr>
          <w:rFonts w:hint="eastAsia" w:ascii="楷体_GB2312" w:hAnsi="楷体_GB2312" w:eastAsia="楷体_GB2312" w:cs="楷体_GB2312"/>
          <w:b/>
          <w:bCs/>
          <w:color w:val="auto"/>
          <w:kern w:val="0"/>
          <w:sz w:val="32"/>
          <w:szCs w:val="32"/>
          <w:highlight w:val="none"/>
          <w:lang w:val="en-US" w:eastAsia="zh-CN" w:bidi="ar-SA"/>
        </w:rPr>
        <w:t>八</w:t>
      </w:r>
      <w:r>
        <w:rPr>
          <w:rFonts w:hint="eastAsia" w:ascii="楷体_GB2312" w:hAnsi="楷体_GB2312" w:eastAsia="楷体_GB2312" w:cs="楷体_GB2312"/>
          <w:b/>
          <w:bCs/>
          <w:color w:val="auto"/>
          <w:kern w:val="0"/>
          <w:sz w:val="32"/>
          <w:szCs w:val="32"/>
          <w:highlight w:val="none"/>
          <w:lang w:val="zh-CN" w:eastAsia="zh-CN" w:bidi="ar-SA"/>
        </w:rPr>
        <w:t xml:space="preserve">条 </w:t>
      </w:r>
      <w:r>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t>独角兽企业、专精特新企业培育发展专项资金由区财政在本级预算中安排，区科学技术委员会、区经济和信息化局负责本办法组织实施，全过程管理所发生的服务费用从专项资金中列支。本办法给予的各类支持资金需用于企业研发活动、固定资产投资等。</w:t>
      </w:r>
    </w:p>
    <w:p>
      <w:pPr>
        <w:pStyle w:val="10"/>
        <w:keepNext w:val="0"/>
        <w:keepLines w:val="0"/>
        <w:pageBreakBefore w:val="0"/>
        <w:widowControl w:val="0"/>
        <w:shd w:val="clear" w:color="auto" w:fill="auto"/>
        <w:kinsoku/>
        <w:wordWrap/>
        <w:overflowPunct/>
        <w:topLinePunct w:val="0"/>
        <w:bidi w:val="0"/>
        <w:adjustRightInd w:val="0"/>
        <w:snapToGrid w:val="0"/>
        <w:spacing w:line="560" w:lineRule="exact"/>
        <w:ind w:right="0" w:rightChars="0" w:firstLine="643" w:firstLineChars="200"/>
        <w:jc w:val="both"/>
        <w:textAlignment w:val="auto"/>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pPr>
      <w:r>
        <w:rPr>
          <w:rFonts w:hint="eastAsia" w:ascii="楷体_GB2312" w:hAnsi="楷体_GB2312" w:eastAsia="楷体_GB2312" w:cs="楷体_GB2312"/>
          <w:b/>
          <w:bCs/>
          <w:color w:val="auto"/>
          <w:kern w:val="0"/>
          <w:sz w:val="32"/>
          <w:szCs w:val="32"/>
          <w:highlight w:val="none"/>
          <w:lang w:val="zh-CN" w:eastAsia="zh-CN" w:bidi="ar-SA"/>
        </w:rPr>
        <w:t>第十</w:t>
      </w:r>
      <w:r>
        <w:rPr>
          <w:rFonts w:hint="eastAsia" w:ascii="楷体_GB2312" w:hAnsi="楷体_GB2312" w:eastAsia="楷体_GB2312" w:cs="楷体_GB2312"/>
          <w:b/>
          <w:bCs/>
          <w:color w:val="auto"/>
          <w:kern w:val="0"/>
          <w:sz w:val="32"/>
          <w:szCs w:val="32"/>
          <w:highlight w:val="none"/>
          <w:lang w:val="en-US" w:eastAsia="zh-CN" w:bidi="ar-SA"/>
        </w:rPr>
        <w:t>九</w:t>
      </w:r>
      <w:r>
        <w:rPr>
          <w:rFonts w:hint="eastAsia" w:ascii="楷体_GB2312" w:hAnsi="楷体_GB2312" w:eastAsia="楷体_GB2312" w:cs="楷体_GB2312"/>
          <w:b/>
          <w:bCs/>
          <w:color w:val="auto"/>
          <w:kern w:val="0"/>
          <w:sz w:val="32"/>
          <w:szCs w:val="32"/>
          <w:highlight w:val="none"/>
          <w:lang w:val="zh-CN" w:eastAsia="zh-CN" w:bidi="ar-SA"/>
        </w:rPr>
        <w:t xml:space="preserve">条 </w:t>
      </w:r>
      <w:r>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t>同一项目、同一事项同时符合本办法多项政策或区级其他扶持政策的，按照“从优不重复”原则予以支持。符合北京市市级其他扶持政策规定的，可申请同时享受市、区两级政策支持，另有规定的除外。如违反相关规定，企业应退回本办法对其支持的全部资金。</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adjustRightInd w:val="0"/>
        <w:snapToGrid w:val="0"/>
        <w:spacing w:beforeAutospacing="0" w:afterAutospacing="0" w:line="560" w:lineRule="exact"/>
        <w:ind w:left="0" w:right="0" w:rightChars="0" w:firstLine="643" w:firstLineChars="200"/>
        <w:jc w:val="both"/>
        <w:textAlignment w:val="auto"/>
        <w:rPr>
          <w:rFonts w:hint="eastAsia"/>
          <w:color w:val="auto"/>
          <w:highlight w:val="none"/>
          <w:lang w:val="en-US" w:eastAsia="zh-CN"/>
        </w:rPr>
      </w:pPr>
      <w:r>
        <w:rPr>
          <w:rFonts w:hint="eastAsia" w:ascii="楷体_GB2312" w:hAnsi="楷体_GB2312" w:eastAsia="楷体_GB2312" w:cs="楷体_GB2312"/>
          <w:b/>
          <w:bCs/>
          <w:color w:val="auto"/>
          <w:kern w:val="0"/>
          <w:sz w:val="32"/>
          <w:szCs w:val="32"/>
          <w:highlight w:val="none"/>
          <w:lang w:val="zh-CN" w:eastAsia="zh-CN" w:bidi="ar-SA"/>
        </w:rPr>
        <w:t xml:space="preserve">第二十条 </w:t>
      </w:r>
      <w:r>
        <w:rPr>
          <w:rFonts w:hint="eastAsia" w:ascii="仿宋_GB2312" w:hAnsi="仿宋_GB2312" w:eastAsia="仿宋_GB2312" w:cs="仿宋_GB2312"/>
          <w:bCs w:val="0"/>
          <w:color w:val="auto"/>
          <w:spacing w:val="-6"/>
          <w:kern w:val="0"/>
          <w:sz w:val="32"/>
          <w:szCs w:val="32"/>
          <w:highlight w:val="none"/>
          <w:shd w:val="clear" w:color="auto" w:fill="auto"/>
          <w:lang w:val="zh-CN" w:eastAsia="zh-CN" w:bidi="ar-SA"/>
        </w:rPr>
        <w:t>本办法由区科学技术委员会、 区经济和信息化局负责解释，自发布之日起实施，试行期限 3 年。</w:t>
      </w:r>
      <w:bookmarkStart w:id="1" w:name="OLE_LINK1"/>
      <w:r>
        <w:rPr>
          <w:rFonts w:hint="eastAsia" w:ascii="仿宋_GB2312" w:hAnsi="仿宋_GB2312" w:eastAsia="仿宋_GB2312" w:cs="仿宋_GB2312"/>
          <w:bCs w:val="0"/>
          <w:color w:val="auto"/>
          <w:spacing w:val="-6"/>
          <w:kern w:val="0"/>
          <w:sz w:val="32"/>
          <w:szCs w:val="32"/>
          <w:highlight w:val="none"/>
          <w:shd w:val="clear" w:color="auto" w:fill="auto"/>
          <w:lang w:val="en-US" w:eastAsia="zh-CN" w:bidi="ar-SA"/>
        </w:rPr>
        <w:t>《昌平区加快独角兽、专精特新企业培育发展支持办法》</w:t>
      </w:r>
      <w:bookmarkEnd w:id="1"/>
      <w:r>
        <w:rPr>
          <w:rFonts w:hint="eastAsia" w:ascii="仿宋_GB2312" w:hAnsi="仿宋_GB2312" w:eastAsia="仿宋_GB2312" w:cs="仿宋_GB2312"/>
          <w:bCs w:val="0"/>
          <w:color w:val="auto"/>
          <w:spacing w:val="-6"/>
          <w:kern w:val="0"/>
          <w:sz w:val="32"/>
          <w:szCs w:val="32"/>
          <w:highlight w:val="none"/>
          <w:shd w:val="clear" w:color="auto" w:fill="auto"/>
          <w:lang w:val="en-US" w:eastAsia="zh-CN" w:bidi="ar-SA"/>
        </w:rPr>
        <w:t>（昌科发〔2023〕4号）同时终止。实施期间如遇国家及市级相关政策变动，将作相应调整。</w:t>
      </w:r>
    </w:p>
    <w:p>
      <w:pPr>
        <w:spacing w:before="101" w:line="227" w:lineRule="auto"/>
        <w:ind w:left="11"/>
        <w:rPr>
          <w:rFonts w:ascii="黑体" w:hAnsi="黑体" w:eastAsia="黑体" w:cs="黑体"/>
          <w:color w:val="auto"/>
          <w:sz w:val="31"/>
          <w:szCs w:val="31"/>
          <w:highlight w:val="none"/>
        </w:rPr>
      </w:pPr>
      <w:r>
        <w:rPr>
          <w:rFonts w:ascii="黑体" w:hAnsi="黑体" w:eastAsia="黑体" w:cs="黑体"/>
          <w:color w:val="auto"/>
          <w:sz w:val="31"/>
          <w:szCs w:val="31"/>
          <w:highlight w:val="none"/>
        </w:rPr>
        <w:t>注释：</w:t>
      </w:r>
    </w:p>
    <w:p>
      <w:pPr>
        <w:pStyle w:val="4"/>
        <w:spacing w:before="181" w:line="333" w:lineRule="auto"/>
        <w:ind w:left="15" w:right="81" w:firstLine="645"/>
        <w:rPr>
          <w:rFonts w:hint="eastAsia" w:ascii="仿宋_GB2312" w:hAnsi="仿宋_GB2312" w:eastAsia="仿宋_GB2312" w:cs="仿宋_GB2312"/>
          <w:bCs w:val="0"/>
          <w:snapToGrid/>
          <w:color w:val="auto"/>
          <w:spacing w:val="-6"/>
          <w:kern w:val="0"/>
          <w:sz w:val="32"/>
          <w:szCs w:val="32"/>
          <w:highlight w:val="none"/>
          <w:shd w:val="clear" w:color="auto" w:fill="auto"/>
          <w:lang w:val="zh-CN" w:eastAsia="zh-CN" w:bidi="ar-SA"/>
        </w:rPr>
      </w:pPr>
      <w:r>
        <w:rPr>
          <w:rFonts w:hint="eastAsia" w:ascii="楷体_GB2312" w:hAnsi="楷体_GB2312" w:eastAsia="楷体_GB2312" w:cs="楷体_GB2312"/>
          <w:b/>
          <w:bCs/>
          <w:snapToGrid/>
          <w:color w:val="auto"/>
          <w:kern w:val="0"/>
          <w:sz w:val="32"/>
          <w:szCs w:val="32"/>
          <w:highlight w:val="none"/>
          <w:lang w:val="zh-CN" w:eastAsia="zh-CN" w:bidi="ar-SA"/>
        </w:rPr>
        <w:t>独角兽企业：</w:t>
      </w:r>
      <w:r>
        <w:rPr>
          <w:rFonts w:hint="eastAsia" w:ascii="仿宋_GB2312" w:hAnsi="仿宋_GB2312" w:eastAsia="仿宋_GB2312" w:cs="仿宋_GB2312"/>
          <w:bCs w:val="0"/>
          <w:snapToGrid/>
          <w:color w:val="auto"/>
          <w:spacing w:val="-6"/>
          <w:kern w:val="0"/>
          <w:sz w:val="32"/>
          <w:szCs w:val="32"/>
          <w:highlight w:val="none"/>
          <w:shd w:val="clear" w:color="auto" w:fill="auto"/>
          <w:lang w:val="zh-CN" w:eastAsia="zh-CN" w:bidi="ar-SA"/>
        </w:rPr>
        <w:t>属于新技术、新模式、新业态、新产业领域，成立时间原则上不超过 10 年，获得过多次股权投资且尚未上市，市场估值超过 10 亿美元，且列入权威独角兽企业榜单的企业。</w:t>
      </w:r>
    </w:p>
    <w:p>
      <w:pPr>
        <w:pStyle w:val="4"/>
        <w:spacing w:before="191" w:line="333" w:lineRule="auto"/>
        <w:ind w:left="7" w:right="165" w:firstLine="642"/>
        <w:rPr>
          <w:rFonts w:hint="eastAsia" w:ascii="仿宋_GB2312" w:hAnsi="仿宋_GB2312" w:eastAsia="仿宋_GB2312" w:cs="仿宋_GB2312"/>
          <w:bCs w:val="0"/>
          <w:snapToGrid/>
          <w:color w:val="auto"/>
          <w:spacing w:val="-6"/>
          <w:kern w:val="0"/>
          <w:sz w:val="32"/>
          <w:szCs w:val="32"/>
          <w:highlight w:val="none"/>
          <w:shd w:val="clear" w:color="auto" w:fill="auto"/>
          <w:lang w:val="zh-CN" w:eastAsia="zh-CN" w:bidi="ar-SA"/>
        </w:rPr>
      </w:pPr>
      <w:r>
        <w:rPr>
          <w:rFonts w:hint="eastAsia" w:ascii="楷体_GB2312" w:hAnsi="楷体_GB2312" w:eastAsia="楷体_GB2312" w:cs="楷体_GB2312"/>
          <w:b/>
          <w:bCs/>
          <w:snapToGrid/>
          <w:color w:val="auto"/>
          <w:kern w:val="0"/>
          <w:sz w:val="32"/>
          <w:szCs w:val="32"/>
          <w:highlight w:val="none"/>
          <w:lang w:val="zh-CN" w:eastAsia="zh-CN" w:bidi="ar-SA"/>
        </w:rPr>
        <w:t>潜在独角兽企业：</w:t>
      </w:r>
      <w:r>
        <w:rPr>
          <w:rFonts w:hint="eastAsia" w:ascii="仿宋_GB2312" w:hAnsi="仿宋_GB2312" w:eastAsia="仿宋_GB2312" w:cs="仿宋_GB2312"/>
          <w:bCs w:val="0"/>
          <w:snapToGrid/>
          <w:color w:val="auto"/>
          <w:spacing w:val="-6"/>
          <w:kern w:val="0"/>
          <w:sz w:val="32"/>
          <w:szCs w:val="32"/>
          <w:highlight w:val="none"/>
          <w:shd w:val="clear" w:color="auto" w:fill="auto"/>
          <w:lang w:val="zh-CN" w:eastAsia="zh-CN" w:bidi="ar-SA"/>
        </w:rPr>
        <w:t>属于新技术、新模式、新业态、新产业领域，成立时间原则上不超过 8 年，获得过股权投资且尚未上市，市场估值超过 1 亿美元的企业。</w:t>
      </w:r>
    </w:p>
    <w:p>
      <w:pPr>
        <w:pStyle w:val="4"/>
        <w:spacing w:before="191" w:line="333" w:lineRule="auto"/>
        <w:ind w:left="15" w:firstLine="643"/>
        <w:rPr>
          <w:rFonts w:hint="eastAsia" w:ascii="仿宋_GB2312" w:hAnsi="仿宋_GB2312" w:eastAsia="仿宋_GB2312" w:cs="仿宋_GB2312"/>
          <w:b w:val="0"/>
          <w:bCs/>
          <w:snapToGrid/>
          <w:color w:val="auto"/>
          <w:spacing w:val="-6"/>
          <w:kern w:val="0"/>
          <w:sz w:val="32"/>
          <w:szCs w:val="32"/>
          <w:highlight w:val="none"/>
          <w:shd w:val="clear" w:color="auto" w:fill="auto"/>
          <w:lang w:val="en-US" w:eastAsia="zh-CN" w:bidi="ar-SA"/>
        </w:rPr>
      </w:pPr>
      <w:r>
        <w:rPr>
          <w:rFonts w:hint="eastAsia" w:ascii="楷体_GB2312" w:hAnsi="楷体_GB2312" w:eastAsia="楷体_GB2312" w:cs="楷体_GB2312"/>
          <w:b/>
          <w:bCs/>
          <w:snapToGrid/>
          <w:color w:val="auto"/>
          <w:kern w:val="0"/>
          <w:sz w:val="32"/>
          <w:szCs w:val="32"/>
          <w:highlight w:val="none"/>
          <w:lang w:val="zh-CN" w:eastAsia="zh-CN" w:bidi="ar-SA"/>
        </w:rPr>
        <w:t>专精特新中小企业、国家专精特新 “小巨人”企业：</w:t>
      </w:r>
      <w:r>
        <w:rPr>
          <w:rFonts w:hint="eastAsia" w:ascii="仿宋_GB2312" w:hAnsi="仿宋_GB2312" w:eastAsia="仿宋_GB2312" w:cs="仿宋_GB2312"/>
          <w:bCs w:val="0"/>
          <w:snapToGrid/>
          <w:color w:val="auto"/>
          <w:spacing w:val="-6"/>
          <w:kern w:val="0"/>
          <w:sz w:val="32"/>
          <w:szCs w:val="32"/>
          <w:highlight w:val="none"/>
          <w:shd w:val="clear" w:color="auto" w:fill="auto"/>
          <w:lang w:val="zh-CN" w:eastAsia="zh-CN" w:bidi="ar-SA"/>
        </w:rPr>
        <w:t>应符合  工业和信息化部印发的《优质中小企业梯度培育管理暂行办法》</w:t>
      </w:r>
      <w:r>
        <w:rPr>
          <w:rFonts w:hint="eastAsia" w:ascii="仿宋_GB2312" w:hAnsi="仿宋_GB2312" w:eastAsia="仿宋_GB2312" w:cs="仿宋_GB2312"/>
          <w:b w:val="0"/>
          <w:bCs/>
          <w:snapToGrid/>
          <w:color w:val="auto"/>
          <w:spacing w:val="-6"/>
          <w:kern w:val="0"/>
          <w:sz w:val="32"/>
          <w:szCs w:val="32"/>
          <w:highlight w:val="none"/>
          <w:shd w:val="clear" w:color="auto" w:fill="auto"/>
          <w:lang w:val="zh-CN" w:eastAsia="zh-CN" w:bidi="ar-SA"/>
        </w:rPr>
        <w:t>（工信部企业〔2022〕63 号）规定标准且经相关部门备案认定。</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232ED5-D797-4DE4-88E0-79484AAE06B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9CD81E96-093A-4E55-BD28-CE1A606531B9}"/>
  </w:font>
  <w:font w:name="仿宋_GB2312">
    <w:panose1 w:val="02010609030101010101"/>
    <w:charset w:val="86"/>
    <w:family w:val="modern"/>
    <w:pitch w:val="default"/>
    <w:sig w:usb0="00000001" w:usb1="080E0000" w:usb2="00000000" w:usb3="00000000" w:csb0="00040000" w:csb1="00000000"/>
    <w:embedRegular r:id="rId3" w:fontKey="{FBB81F60-9EB6-4CB6-8D08-9CD1EC51907A}"/>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4" w:fontKey="{8569F929-C915-4C95-8584-8996A18F6340}"/>
  </w:font>
  <w:font w:name="楷体_GB2312">
    <w:panose1 w:val="02010609030101010101"/>
    <w:charset w:val="86"/>
    <w:family w:val="modern"/>
    <w:pitch w:val="default"/>
    <w:sig w:usb0="00000001" w:usb1="080E0000" w:usb2="00000000" w:usb3="00000000" w:csb0="00040000" w:csb1="00000000"/>
    <w:embedRegular r:id="rId5" w:fontKey="{4099ACF9-B06A-4569-9603-C342363D00D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14990E"/>
    <w:multiLevelType w:val="singleLevel"/>
    <w:tmpl w:val="A414990E"/>
    <w:lvl w:ilvl="0" w:tentative="0">
      <w:start w:val="2"/>
      <w:numFmt w:val="chineseCounting"/>
      <w:suff w:val="space"/>
      <w:lvlText w:val="第%1章"/>
      <w:lvlJc w:val="left"/>
      <w:rPr>
        <w:rFonts w:hint="eastAsia"/>
      </w:rPr>
    </w:lvl>
  </w:abstractNum>
  <w:abstractNum w:abstractNumId="1">
    <w:nsid w:val="2EB791CD"/>
    <w:multiLevelType w:val="singleLevel"/>
    <w:tmpl w:val="2EB791CD"/>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38B9310F"/>
    <w:rsid w:val="035E5DB4"/>
    <w:rsid w:val="07600E01"/>
    <w:rsid w:val="07D60EE8"/>
    <w:rsid w:val="11EE5963"/>
    <w:rsid w:val="18C748AD"/>
    <w:rsid w:val="1C691DD7"/>
    <w:rsid w:val="20673B1D"/>
    <w:rsid w:val="38B9310F"/>
    <w:rsid w:val="42E862D4"/>
    <w:rsid w:val="461D0983"/>
    <w:rsid w:val="46BD2FF8"/>
    <w:rsid w:val="4C9E5B32"/>
    <w:rsid w:val="55AE7AEB"/>
    <w:rsid w:val="56CB7308"/>
    <w:rsid w:val="591F3A94"/>
    <w:rsid w:val="5E1B4718"/>
    <w:rsid w:val="6A420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ascii="Times New Roman" w:hAnsi="Times New Roman" w:eastAsia="宋体" w:cs="Times New Roman"/>
      <w:szCs w:val="20"/>
    </w:rPr>
  </w:style>
  <w:style w:type="paragraph" w:styleId="3">
    <w:name w:val="Body Text Indent"/>
    <w:basedOn w:val="1"/>
    <w:next w:val="2"/>
    <w:qFormat/>
    <w:uiPriority w:val="0"/>
    <w:pPr>
      <w:suppressAutoHyphens/>
      <w:spacing w:line="460" w:lineRule="exact"/>
      <w:ind w:left="1285" w:hanging="1285"/>
    </w:pPr>
    <w:rPr>
      <w:rFonts w:ascii="仿宋_GB2312" w:hAnsi="仿宋_GB2312" w:eastAsia="仿宋_GB2312"/>
      <w:b/>
      <w:bCs/>
      <w:kern w:val="1"/>
      <w:sz w:val="32"/>
      <w:lang w:eastAsia="ar-SA"/>
    </w:rPr>
  </w:style>
  <w:style w:type="paragraph" w:styleId="4">
    <w:name w:val="Body Text"/>
    <w:basedOn w:val="1"/>
    <w:qFormat/>
    <w:uiPriority w:val="0"/>
    <w:pPr>
      <w:widowControl w:val="0"/>
      <w:spacing w:after="120"/>
      <w:jc w:val="both"/>
    </w:pPr>
    <w:rPr>
      <w:rFonts w:ascii="Times New Roman" w:eastAsia="宋体"/>
      <w:snapToGrid/>
      <w:kern w:val="2"/>
      <w:sz w:val="21"/>
      <w:szCs w:val="24"/>
    </w:rPr>
  </w:style>
  <w:style w:type="paragraph" w:styleId="5">
    <w:name w:val="Plain Text"/>
    <w:basedOn w:val="1"/>
    <w:next w:val="1"/>
    <w:qFormat/>
    <w:uiPriority w:val="99"/>
    <w:rPr>
      <w:rFonts w:ascii="宋体" w:hAnsi="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next w:val="6"/>
    <w:qFormat/>
    <w:uiPriority w:val="0"/>
    <w:pPr>
      <w:spacing w:line="375" w:lineRule="atLeast"/>
    </w:pPr>
  </w:style>
  <w:style w:type="paragraph" w:customStyle="1" w:styleId="10">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2025-02-14T01:11:00Z</dcterms:created>
  <dc:creator>菲儿</dc:creator>
  <cp:lastModifiedBy>Administrator</cp:lastModifiedBy>
  <cp:lastPrinted>2025-02-17T05:18:00Z</cp:lastPrinted>
  <dcterms:modified xsi:type="dcterms:W3CDTF">2025-04-21T07:34:35Z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05E7953F09724B578670B3F48B3E1F12_13</vt:lpwstr>
  </property>
</Properties>
</file>