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baseline"/>
        <w:rPr>
          <w:rStyle w:val="6"/>
          <w:rFonts w:hint="eastAsia" w:ascii="方正小标宋简体" w:hAnsi="方正小标宋简体" w:eastAsia="方正小标宋简体" w:cs="方正小标宋简体"/>
          <w:b w:val="0"/>
          <w:bCs/>
          <w:i w:val="0"/>
          <w:caps w:val="0"/>
          <w:color w:val="auto"/>
          <w:spacing w:val="0"/>
          <w:sz w:val="44"/>
          <w:szCs w:val="44"/>
          <w:vertAlign w:val="baseline"/>
        </w:rPr>
      </w:pPr>
      <w:r>
        <w:rPr>
          <w:rStyle w:val="6"/>
          <w:rFonts w:hint="eastAsia" w:ascii="方正小标宋简体" w:hAnsi="方正小标宋简体" w:eastAsia="方正小标宋简体" w:cs="方正小标宋简体"/>
          <w:b w:val="0"/>
          <w:bCs/>
          <w:i w:val="0"/>
          <w:caps w:val="0"/>
          <w:color w:val="auto"/>
          <w:spacing w:val="0"/>
          <w:sz w:val="44"/>
          <w:szCs w:val="44"/>
          <w:vertAlign w:val="baseline"/>
        </w:rPr>
        <w:t>《北京市昌平区支持美丽健康产业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baseline"/>
        <w:rPr>
          <w:rStyle w:val="6"/>
          <w:rFonts w:hint="eastAsia" w:ascii="方正小标宋简体" w:hAnsi="方正小标宋简体" w:eastAsia="方正小标宋简体" w:cs="方正小标宋简体"/>
          <w:b w:val="0"/>
          <w:bCs/>
          <w:i w:val="0"/>
          <w:caps w:val="0"/>
          <w:color w:val="auto"/>
          <w:spacing w:val="0"/>
          <w:sz w:val="44"/>
          <w:szCs w:val="44"/>
          <w:vertAlign w:val="baseline"/>
        </w:rPr>
      </w:pPr>
      <w:r>
        <w:rPr>
          <w:rStyle w:val="6"/>
          <w:rFonts w:hint="eastAsia" w:ascii="方正小标宋简体" w:hAnsi="方正小标宋简体" w:eastAsia="方正小标宋简体" w:cs="方正小标宋简体"/>
          <w:b w:val="0"/>
          <w:bCs/>
          <w:i w:val="0"/>
          <w:caps w:val="0"/>
          <w:color w:val="auto"/>
          <w:spacing w:val="0"/>
          <w:sz w:val="44"/>
          <w:szCs w:val="44"/>
          <w:vertAlign w:val="baseline"/>
        </w:rPr>
        <w:t>高质量发展若干措施</w:t>
      </w:r>
      <w:bookmarkStart w:id="3" w:name="_GoBack"/>
      <w:bookmarkEnd w:id="3"/>
      <w:r>
        <w:rPr>
          <w:rStyle w:val="6"/>
          <w:rFonts w:hint="eastAsia" w:ascii="方正小标宋简体" w:hAnsi="方正小标宋简体" w:eastAsia="方正小标宋简体" w:cs="方正小标宋简体"/>
          <w:b w:val="0"/>
          <w:bCs/>
          <w:i w:val="0"/>
          <w:caps w:val="0"/>
          <w:color w:val="auto"/>
          <w:spacing w:val="0"/>
          <w:sz w:val="44"/>
          <w:szCs w:val="44"/>
          <w:vertAlign w:val="baseline"/>
          <w:lang w:eastAsia="zh-CN"/>
        </w:rPr>
        <w:t>（</w:t>
      </w:r>
      <w:r>
        <w:rPr>
          <w:rStyle w:val="6"/>
          <w:rFonts w:hint="eastAsia" w:ascii="方正小标宋简体" w:hAnsi="方正小标宋简体" w:eastAsia="方正小标宋简体" w:cs="方正小标宋简体"/>
          <w:b w:val="0"/>
          <w:bCs/>
          <w:i w:val="0"/>
          <w:caps w:val="0"/>
          <w:color w:val="auto"/>
          <w:spacing w:val="0"/>
          <w:sz w:val="44"/>
          <w:szCs w:val="44"/>
          <w:vertAlign w:val="baseline"/>
          <w:lang w:val="en-US" w:eastAsia="zh-CN"/>
        </w:rPr>
        <w:t>修订稿</w:t>
      </w:r>
      <w:r>
        <w:rPr>
          <w:rStyle w:val="6"/>
          <w:rFonts w:hint="eastAsia" w:ascii="方正小标宋简体" w:hAnsi="方正小标宋简体" w:eastAsia="方正小标宋简体" w:cs="方正小标宋简体"/>
          <w:b w:val="0"/>
          <w:bCs/>
          <w:i w:val="0"/>
          <w:caps w:val="0"/>
          <w:color w:val="auto"/>
          <w:spacing w:val="0"/>
          <w:sz w:val="44"/>
          <w:szCs w:val="44"/>
          <w:vertAlign w:val="baseline"/>
          <w:lang w:eastAsia="zh-CN"/>
        </w:rPr>
        <w:t>）</w:t>
      </w:r>
      <w:r>
        <w:rPr>
          <w:rStyle w:val="6"/>
          <w:rFonts w:hint="eastAsia" w:ascii="方正小标宋简体" w:hAnsi="方正小标宋简体" w:eastAsia="方正小标宋简体" w:cs="方正小标宋简体"/>
          <w:b w:val="0"/>
          <w:bCs/>
          <w:i w:val="0"/>
          <w:caps w:val="0"/>
          <w:color w:val="auto"/>
          <w:spacing w:val="0"/>
          <w:sz w:val="44"/>
          <w:szCs w:val="44"/>
          <w:vertAlign w:val="baseli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baseline"/>
        <w:rPr>
          <w:rStyle w:val="6"/>
          <w:rFonts w:hint="eastAsia" w:ascii="方正小标宋简体" w:hAnsi="方正小标宋简体" w:eastAsia="方正小标宋简体" w:cs="方正小标宋简体"/>
          <w:b w:val="0"/>
          <w:bCs/>
          <w:i w:val="0"/>
          <w:caps w:val="0"/>
          <w:color w:val="auto"/>
          <w:spacing w:val="0"/>
          <w:sz w:val="44"/>
          <w:szCs w:val="44"/>
          <w:vertAlign w:val="baseline"/>
        </w:rPr>
      </w:pPr>
      <w:r>
        <w:rPr>
          <w:rStyle w:val="6"/>
          <w:rFonts w:hint="eastAsia" w:ascii="方正小标宋简体" w:hAnsi="方正小标宋简体" w:eastAsia="方正小标宋简体" w:cs="方正小标宋简体"/>
          <w:b w:val="0"/>
          <w:bCs/>
          <w:i w:val="0"/>
          <w:caps w:val="0"/>
          <w:color w:val="auto"/>
          <w:spacing w:val="0"/>
          <w:sz w:val="44"/>
          <w:szCs w:val="44"/>
          <w:vertAlign w:val="baseline"/>
        </w:rPr>
        <w:t>的起草说明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baseline"/>
        <w:rPr>
          <w:rStyle w:val="6"/>
          <w:rFonts w:hint="eastAsia" w:ascii="方正小标宋简体" w:hAnsi="方正小标宋简体" w:eastAsia="方正小标宋简体" w:cs="方正小标宋简体"/>
          <w:b w:val="0"/>
          <w:bCs/>
          <w:i w:val="0"/>
          <w:caps w:val="0"/>
          <w:color w:val="auto"/>
          <w:spacing w:val="0"/>
          <w:sz w:val="44"/>
          <w:szCs w:val="44"/>
          <w:vertAlign w:val="baseline"/>
          <w:lang w:val="en-US" w:eastAsia="zh-CN"/>
        </w:rPr>
      </w:pPr>
    </w:p>
    <w:p>
      <w:pPr>
        <w:pStyle w:val="7"/>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both"/>
        <w:textAlignment w:val="auto"/>
        <w:rPr>
          <w:rFonts w:hint="default" w:ascii="Times New Roman" w:hAnsi="Times New Roman" w:eastAsia="黑体" w:cs="Times New Roman"/>
          <w:bCs w:val="0"/>
          <w:color w:val="auto"/>
          <w:kern w:val="0"/>
          <w:lang w:val="en-US"/>
        </w:rPr>
      </w:pPr>
      <w:r>
        <w:rPr>
          <w:rFonts w:hint="eastAsia" w:ascii="Times New Roman" w:hAnsi="Times New Roman" w:eastAsia="黑体" w:cs="Times New Roman"/>
          <w:bCs w:val="0"/>
          <w:color w:val="auto"/>
          <w:kern w:val="0"/>
          <w:lang w:eastAsia="zh-CN"/>
        </w:rPr>
        <w:t>一、</w:t>
      </w:r>
      <w:r>
        <w:rPr>
          <w:rFonts w:hint="default" w:ascii="Times New Roman" w:hAnsi="Times New Roman" w:eastAsia="黑体" w:cs="Times New Roman"/>
          <w:bCs w:val="0"/>
          <w:color w:val="auto"/>
          <w:kern w:val="0"/>
          <w:lang w:eastAsia="zh-CN"/>
        </w:rPr>
        <w:t>起草背景</w:t>
      </w:r>
    </w:p>
    <w:p>
      <w:pPr>
        <w:pStyle w:val="2"/>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仿宋_GB2312" w:cs="Times New Roman"/>
          <w:snapToGrid/>
          <w:color w:val="auto"/>
          <w:kern w:val="0"/>
          <w:sz w:val="32"/>
          <w:szCs w:val="32"/>
          <w:highlight w:val="none"/>
          <w:lang w:eastAsia="zh-CN"/>
        </w:rPr>
      </w:pPr>
      <w:r>
        <w:rPr>
          <w:rFonts w:hint="eastAsia" w:ascii="仿宋_GB2312" w:hAnsi="仿宋_GB2312" w:eastAsia="仿宋_GB2312" w:cs="仿宋_GB2312"/>
          <w:color w:val="000000"/>
          <w:sz w:val="32"/>
          <w:szCs w:val="32"/>
        </w:rPr>
        <w:t>为贯彻《中华人民共和国国民经济和社会发展第十四个五年规划和2035年远景目标纲要》《北京市国民经济和社会发展第十四个五年规划和二〇三五年远景目标纲要》《北京市“十四五”时期高精尖产业发展规划》等文件精神，</w:t>
      </w:r>
      <w:r>
        <w:rPr>
          <w:rFonts w:hint="eastAsia" w:ascii="仿宋_GB2312" w:hAnsi="仿宋_GB2312" w:eastAsia="仿宋_GB2312" w:cs="仿宋_GB2312"/>
          <w:color w:val="auto"/>
          <w:sz w:val="32"/>
          <w:szCs w:val="32"/>
          <w:highlight w:val="none"/>
        </w:rPr>
        <w:t>充分发挥未来科学城作为北京国际科技创新中心主平台优势，大力发展美丽健康产业，培育经济发展新动能，将昌平区建设成为具有国际影响力的美丽健康产业高地，</w:t>
      </w:r>
      <w:r>
        <w:rPr>
          <w:rFonts w:hint="eastAsia" w:ascii="Times New Roman" w:hAnsi="Times New Roman" w:eastAsia="仿宋_GB2312" w:cs="Times New Roman"/>
          <w:snapToGrid/>
          <w:color w:val="auto"/>
          <w:kern w:val="0"/>
          <w:sz w:val="32"/>
          <w:szCs w:val="32"/>
          <w:highlight w:val="none"/>
          <w:lang w:eastAsia="zh-CN"/>
        </w:rPr>
        <w:t>结合昌平区实际，制定本</w:t>
      </w:r>
      <w:r>
        <w:rPr>
          <w:rFonts w:hint="eastAsia" w:ascii="Times New Roman" w:hAnsi="Times New Roman" w:eastAsia="仿宋_GB2312" w:cs="Times New Roman"/>
          <w:snapToGrid/>
          <w:color w:val="auto"/>
          <w:kern w:val="0"/>
          <w:sz w:val="32"/>
          <w:szCs w:val="32"/>
          <w:highlight w:val="none"/>
          <w:lang w:val="en-US" w:eastAsia="zh-CN"/>
        </w:rPr>
        <w:t>措施</w:t>
      </w:r>
      <w:r>
        <w:rPr>
          <w:rFonts w:hint="eastAsia" w:ascii="Times New Roman" w:hAnsi="Times New Roman" w:eastAsia="仿宋_GB2312" w:cs="Times New Roman"/>
          <w:snapToGrid/>
          <w:color w:val="auto"/>
          <w:kern w:val="0"/>
          <w:sz w:val="32"/>
          <w:szCs w:val="32"/>
          <w:highlight w:val="none"/>
          <w:lang w:eastAsia="zh-CN"/>
        </w:rPr>
        <w:t>。</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both"/>
        <w:textAlignment w:val="auto"/>
        <w:rPr>
          <w:rFonts w:hint="default" w:ascii="Times New Roman" w:hAnsi="Times New Roman" w:eastAsia="黑体" w:cs="Times New Roman"/>
          <w:bCs w:val="0"/>
          <w:color w:val="auto"/>
          <w:kern w:val="0"/>
          <w:lang w:val="en-US"/>
        </w:rPr>
      </w:pPr>
      <w:r>
        <w:rPr>
          <w:rFonts w:hint="eastAsia" w:ascii="Times New Roman" w:hAnsi="Times New Roman" w:eastAsia="黑体" w:cs="Times New Roman"/>
          <w:bCs w:val="0"/>
          <w:color w:val="auto"/>
          <w:kern w:val="0"/>
          <w:lang w:eastAsia="zh-CN"/>
        </w:rPr>
        <w:t>二、</w:t>
      </w:r>
      <w:r>
        <w:rPr>
          <w:rFonts w:hint="default" w:ascii="Times New Roman" w:hAnsi="Times New Roman" w:eastAsia="黑体" w:cs="Times New Roman"/>
          <w:bCs w:val="0"/>
          <w:color w:val="auto"/>
          <w:kern w:val="0"/>
          <w:lang w:eastAsia="zh-CN"/>
        </w:rPr>
        <w:t>起草过程</w:t>
      </w:r>
    </w:p>
    <w:p>
      <w:pPr>
        <w:keepNext w:val="0"/>
        <w:keepLines w:val="0"/>
        <w:pageBreakBefore w:val="0"/>
        <w:kinsoku/>
        <w:wordWrap/>
        <w:overflowPunct/>
        <w:topLinePunct w:val="0"/>
        <w:autoSpaceDE/>
        <w:autoSpaceDN/>
        <w:bidi w:val="0"/>
        <w:spacing w:line="560" w:lineRule="exact"/>
        <w:ind w:leftChars="0"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rPr>
        <w:t>（一）开展区内情况摸底调研。</w:t>
      </w:r>
      <w:r>
        <w:rPr>
          <w:rFonts w:hint="eastAsia" w:ascii="Times New Roman" w:hAnsi="Times New Roman" w:eastAsia="仿宋_GB2312" w:cs="Times New Roman"/>
          <w:color w:val="auto"/>
          <w:kern w:val="0"/>
          <w:sz w:val="32"/>
          <w:szCs w:val="32"/>
          <w:highlight w:val="none"/>
          <w:lang w:val="en-US" w:eastAsia="zh-CN"/>
        </w:rPr>
        <w:t>通过现场调研、集体座谈等方式多次与美丽健康产业企业沟通，广泛征求企业意见，进一步了解企业关于政策支持内容的诉求，确保政策的可执行性，确保支持范围和兑现要求符合区内实际情况。并多次征求区财政局、区市场监管局、区发改委、区投促中心、区科委、区商务局、中关村科技园区管委会、未来科学城管委会等相关单位意见。</w:t>
      </w:r>
    </w:p>
    <w:p>
      <w:pPr>
        <w:keepNext w:val="0"/>
        <w:keepLines w:val="0"/>
        <w:pageBreakBefore w:val="0"/>
        <w:kinsoku/>
        <w:wordWrap/>
        <w:overflowPunct/>
        <w:topLinePunct w:val="0"/>
        <w:autoSpaceDE/>
        <w:autoSpaceDN/>
        <w:bidi w:val="0"/>
        <w:spacing w:line="560" w:lineRule="exact"/>
        <w:ind w:leftChars="0"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rPr>
        <w:t>（二）实施政策对比与分析。</w:t>
      </w:r>
      <w:r>
        <w:rPr>
          <w:rFonts w:hint="eastAsia" w:ascii="Times New Roman" w:hAnsi="Times New Roman" w:eastAsia="仿宋_GB2312" w:cs="Times New Roman"/>
          <w:color w:val="auto"/>
          <w:kern w:val="0"/>
          <w:sz w:val="32"/>
          <w:szCs w:val="32"/>
          <w:highlight w:val="none"/>
          <w:lang w:val="en-US" w:eastAsia="zh-CN"/>
        </w:rPr>
        <w:t>认真学习近年来北京市支持高精尖产业发展、北京市中小企业发展资金的政策文件，梳理研究上海市、广东省以及经开区、通州区等相关政策文件，确保政策实施具有可行性，对目标企业具有一定的吸引力，符合美丽健康产业发展的切实需求，力争政策效果的最优。</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right="0" w:rightChars="0" w:firstLine="720" w:firstLineChars="200"/>
        <w:jc w:val="both"/>
        <w:textAlignment w:val="auto"/>
        <w:rPr>
          <w:rFonts w:hint="default" w:ascii="Times New Roman" w:hAnsi="Times New Roman" w:eastAsia="黑体" w:cs="Times New Roman"/>
          <w:bCs w:val="0"/>
          <w:color w:val="auto"/>
          <w:kern w:val="0"/>
          <w:sz w:val="36"/>
          <w:szCs w:val="36"/>
          <w:highlight w:val="none"/>
          <w:lang w:val="en-US"/>
        </w:rPr>
      </w:pPr>
      <w:r>
        <w:rPr>
          <w:rFonts w:hint="eastAsia" w:ascii="Times New Roman" w:hAnsi="Times New Roman" w:eastAsia="黑体" w:cs="Times New Roman"/>
          <w:bCs w:val="0"/>
          <w:color w:val="auto"/>
          <w:kern w:val="0"/>
          <w:sz w:val="36"/>
          <w:szCs w:val="36"/>
          <w:highlight w:val="none"/>
          <w:lang w:eastAsia="zh-CN"/>
        </w:rPr>
        <w:t>三、</w:t>
      </w:r>
      <w:r>
        <w:rPr>
          <w:rFonts w:hint="default" w:ascii="Times New Roman" w:hAnsi="Times New Roman" w:eastAsia="黑体" w:cs="Times New Roman"/>
          <w:bCs w:val="0"/>
          <w:color w:val="auto"/>
          <w:kern w:val="0"/>
          <w:sz w:val="36"/>
          <w:szCs w:val="36"/>
          <w:highlight w:val="none"/>
          <w:lang w:eastAsia="zh-CN"/>
        </w:rPr>
        <w:t>主要内容</w:t>
      </w:r>
    </w:p>
    <w:p>
      <w:pPr>
        <w:keepNext w:val="0"/>
        <w:keepLines w:val="0"/>
        <w:pageBreakBefore w:val="0"/>
        <w:numPr>
          <w:ilvl w:val="0"/>
          <w:numId w:val="0"/>
        </w:numPr>
        <w:kinsoku/>
        <w:wordWrap/>
        <w:overflowPunct/>
        <w:topLinePunct w:val="0"/>
        <w:autoSpaceDE/>
        <w:autoSpaceDN/>
        <w:bidi w:val="0"/>
        <w:spacing w:line="560" w:lineRule="exact"/>
        <w:ind w:leftChars="0" w:firstLine="640" w:firstLineChars="200"/>
        <w:textAlignment w:val="auto"/>
        <w:rPr>
          <w:rFonts w:hint="eastAsia" w:ascii="楷体_GB2312" w:hAnsi="楷体_GB2312" w:eastAsia="楷体_GB2312" w:cs="楷体_GB2312"/>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eastAsia="zh-CN"/>
        </w:rPr>
        <w:t>参照北京市相关政策及其他地区支持措施，基于昌平区美丽健康产业发展实际，坚持目标导向、结果导向，按照系统性科学性和可操作性原则，聚焦美丽健康产业创新发展、产业融合、生态建设等方面，全面推进美丽健康产业高质量</w:t>
      </w:r>
      <w:r>
        <w:rPr>
          <w:rFonts w:hint="eastAsia" w:ascii="Times New Roman" w:hAnsi="Times New Roman" w:eastAsia="仿宋_GB2312" w:cs="Times New Roman"/>
          <w:color w:val="auto"/>
          <w:kern w:val="0"/>
          <w:sz w:val="32"/>
          <w:szCs w:val="32"/>
          <w:highlight w:val="none"/>
          <w:lang w:val="en-US" w:eastAsia="zh-CN"/>
        </w:rPr>
        <w:t>发展</w:t>
      </w:r>
      <w:r>
        <w:rPr>
          <w:rFonts w:hint="eastAsia" w:ascii="Times New Roman" w:hAnsi="Times New Roman" w:eastAsia="仿宋_GB2312" w:cs="Times New Roman"/>
          <w:color w:val="auto"/>
          <w:kern w:val="0"/>
          <w:sz w:val="32"/>
          <w:szCs w:val="32"/>
          <w:highlight w:val="none"/>
          <w:lang w:eastAsia="zh-CN"/>
        </w:rPr>
        <w:t>。《若干措施》涉及具体支持条款10条。</w:t>
      </w:r>
      <w:bookmarkStart w:id="0" w:name="OLE_LINK8"/>
    </w:p>
    <w:p>
      <w:pPr>
        <w:keepNext w:val="0"/>
        <w:keepLines w:val="0"/>
        <w:pageBreakBefore w:val="0"/>
        <w:numPr>
          <w:ilvl w:val="0"/>
          <w:numId w:val="0"/>
        </w:numPr>
        <w:kinsoku/>
        <w:wordWrap/>
        <w:overflowPunct/>
        <w:topLinePunct w:val="0"/>
        <w:autoSpaceDE/>
        <w:autoSpaceDN/>
        <w:bidi w:val="0"/>
        <w:spacing w:line="560" w:lineRule="exact"/>
        <w:ind w:leftChars="0" w:firstLine="640" w:firstLineChars="200"/>
        <w:textAlignment w:val="auto"/>
        <w:rPr>
          <w:rFonts w:hint="eastAsia" w:ascii="仿宋_GB2312" w:hAnsi="仿宋_GB2312" w:eastAsia="仿宋_GB2312" w:cs="仿宋_GB2312"/>
          <w:color w:val="auto"/>
          <w:kern w:val="0"/>
          <w:sz w:val="32"/>
          <w:szCs w:val="32"/>
          <w:highlight w:val="yellow"/>
          <w:lang w:val="en-US" w:eastAsia="zh-CN"/>
        </w:rPr>
      </w:pPr>
      <w:r>
        <w:rPr>
          <w:rFonts w:hint="eastAsia" w:ascii="楷体_GB2312" w:hAnsi="楷体_GB2312" w:eastAsia="楷体_GB2312" w:cs="楷体_GB2312"/>
          <w:color w:val="auto"/>
          <w:kern w:val="0"/>
          <w:sz w:val="32"/>
          <w:szCs w:val="32"/>
          <w:highlight w:val="none"/>
          <w:lang w:val="en-US" w:eastAsia="zh-CN"/>
        </w:rPr>
        <w:t>（一）</w:t>
      </w:r>
      <w:bookmarkEnd w:id="0"/>
      <w:r>
        <w:rPr>
          <w:rFonts w:hint="eastAsia" w:ascii="楷体_GB2312" w:hAnsi="楷体_GB2312" w:eastAsia="楷体_GB2312" w:cs="楷体_GB2312"/>
          <w:color w:val="auto"/>
          <w:kern w:val="0"/>
          <w:sz w:val="32"/>
          <w:szCs w:val="32"/>
          <w:highlight w:val="none"/>
          <w:lang w:val="en-US" w:eastAsia="zh-CN"/>
        </w:rPr>
        <w:t>支持企业</w:t>
      </w:r>
      <w:r>
        <w:rPr>
          <w:rFonts w:hint="eastAsia" w:ascii="楷体_GB2312" w:hAnsi="楷体_GB2312" w:eastAsia="楷体_GB2312" w:cs="楷体_GB2312"/>
          <w:color w:val="auto"/>
          <w:kern w:val="0"/>
          <w:sz w:val="32"/>
          <w:szCs w:val="32"/>
          <w:highlight w:val="none"/>
        </w:rPr>
        <w:t>创新发展</w:t>
      </w:r>
      <w:r>
        <w:rPr>
          <w:rFonts w:hint="eastAsia" w:ascii="楷体_GB2312" w:hAnsi="楷体_GB2312" w:eastAsia="楷体_GB2312" w:cs="楷体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支持化妆品新原料研发、配方及工艺开发、技术创新、工业设计、检测检验、标准制定、美妆新零售、美妆文化、时尚创意等</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鼓励创办美丽健康产业新型研发机构</w:t>
      </w:r>
      <w:r>
        <w:rPr>
          <w:rFonts w:hint="eastAsia" w:ascii="仿宋_GB2312" w:hAnsi="仿宋_GB2312" w:eastAsia="仿宋_GB2312" w:cs="仿宋_GB2312"/>
          <w:color w:val="auto"/>
          <w:kern w:val="0"/>
          <w:sz w:val="32"/>
          <w:szCs w:val="32"/>
          <w:highlight w:val="none"/>
          <w:lang w:eastAsia="zh-CN"/>
        </w:rPr>
        <w:t>。</w:t>
      </w:r>
      <w:r>
        <w:rPr>
          <w:rFonts w:hint="eastAsia" w:ascii="仿宋_GB2312" w:hAnsi="华文仿宋" w:eastAsia="仿宋_GB2312"/>
          <w:color w:val="auto"/>
          <w:sz w:val="32"/>
          <w:szCs w:val="32"/>
          <w:highlight w:val="none"/>
        </w:rPr>
        <w:t>支持创业孵化和成果转化。</w:t>
      </w:r>
      <w:r>
        <w:rPr>
          <w:rFonts w:hint="eastAsia" w:ascii="仿宋_GB2312" w:hAnsi="华文仿宋" w:eastAsia="仿宋_GB2312"/>
          <w:color w:val="auto"/>
          <w:sz w:val="32"/>
          <w:szCs w:val="32"/>
        </w:rPr>
        <w:t>支持数字新业态新模式新消费发展。</w:t>
      </w:r>
    </w:p>
    <w:p>
      <w:pPr>
        <w:keepNext w:val="0"/>
        <w:keepLines w:val="0"/>
        <w:pageBreakBefore w:val="0"/>
        <w:numPr>
          <w:ilvl w:val="0"/>
          <w:numId w:val="0"/>
        </w:numPr>
        <w:kinsoku/>
        <w:wordWrap/>
        <w:overflowPunct/>
        <w:topLinePunct w:val="0"/>
        <w:autoSpaceDE/>
        <w:autoSpaceDN/>
        <w:bidi w:val="0"/>
        <w:spacing w:line="560" w:lineRule="exact"/>
        <w:ind w:leftChars="0"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楷体_GB2312" w:hAnsi="楷体_GB2312" w:eastAsia="楷体_GB2312" w:cs="楷体_GB2312"/>
          <w:color w:val="auto"/>
          <w:kern w:val="0"/>
          <w:sz w:val="32"/>
          <w:szCs w:val="32"/>
          <w:highlight w:val="none"/>
          <w:lang w:val="en-US" w:eastAsia="zh-CN"/>
        </w:rPr>
        <w:t>（二）支持美丽健康产业融合发展。</w:t>
      </w:r>
      <w:r>
        <w:rPr>
          <w:rFonts w:hint="eastAsia" w:ascii="仿宋_GB2312" w:hAnsi="仿宋_GB2312" w:eastAsia="仿宋_GB2312" w:cs="仿宋_GB2312"/>
          <w:color w:val="auto"/>
          <w:kern w:val="0"/>
          <w:sz w:val="32"/>
          <w:szCs w:val="32"/>
          <w:highlight w:val="none"/>
        </w:rPr>
        <w:t>鼓励企业持续发展，做强做长美丽健康产业链条</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支持产业融合发展。支持数字新业态新模式新消费发展。支持平台型数字化服务旗舰企业做大做强，加速释放数字经济新活力。</w:t>
      </w:r>
    </w:p>
    <w:p>
      <w:pPr>
        <w:keepNext w:val="0"/>
        <w:keepLines w:val="0"/>
        <w:pageBreakBefore w:val="0"/>
        <w:numPr>
          <w:ilvl w:val="0"/>
          <w:numId w:val="0"/>
        </w:numPr>
        <w:kinsoku/>
        <w:wordWrap/>
        <w:overflowPunct/>
        <w:topLinePunct w:val="0"/>
        <w:autoSpaceDE/>
        <w:autoSpaceDN/>
        <w:bidi w:val="0"/>
        <w:spacing w:line="560" w:lineRule="exact"/>
        <w:ind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rPr>
        <w:t>（三）</w:t>
      </w:r>
      <w:bookmarkStart w:id="1" w:name="OLE_LINK7"/>
      <w:r>
        <w:rPr>
          <w:rFonts w:hint="eastAsia" w:ascii="楷体_GB2312" w:hAnsi="楷体_GB2312" w:eastAsia="楷体_GB2312" w:cs="楷体_GB2312"/>
          <w:color w:val="auto"/>
          <w:kern w:val="0"/>
          <w:sz w:val="32"/>
          <w:szCs w:val="32"/>
          <w:highlight w:val="none"/>
          <w:lang w:val="en-US" w:eastAsia="zh-CN"/>
        </w:rPr>
        <w:t>支持</w:t>
      </w:r>
      <w:bookmarkStart w:id="2" w:name="OLE_LINK6"/>
      <w:r>
        <w:rPr>
          <w:rFonts w:hint="eastAsia" w:ascii="楷体_GB2312" w:hAnsi="楷体_GB2312" w:eastAsia="楷体_GB2312" w:cs="楷体_GB2312"/>
          <w:color w:val="auto"/>
          <w:kern w:val="0"/>
          <w:sz w:val="32"/>
          <w:szCs w:val="32"/>
          <w:highlight w:val="none"/>
          <w:lang w:val="en-US" w:eastAsia="zh-CN"/>
        </w:rPr>
        <w:t>美丽健康产业</w:t>
      </w:r>
      <w:bookmarkEnd w:id="2"/>
      <w:r>
        <w:rPr>
          <w:rFonts w:hint="eastAsia" w:ascii="楷体_GB2312" w:hAnsi="楷体_GB2312" w:eastAsia="楷体_GB2312" w:cs="楷体_GB2312"/>
          <w:color w:val="auto"/>
          <w:kern w:val="0"/>
          <w:sz w:val="32"/>
          <w:szCs w:val="32"/>
          <w:highlight w:val="none"/>
        </w:rPr>
        <w:t>生态</w:t>
      </w:r>
      <w:r>
        <w:rPr>
          <w:rFonts w:hint="eastAsia" w:ascii="楷体_GB2312" w:hAnsi="楷体_GB2312" w:eastAsia="楷体_GB2312" w:cs="楷体_GB2312"/>
          <w:color w:val="auto"/>
          <w:kern w:val="0"/>
          <w:sz w:val="32"/>
          <w:szCs w:val="32"/>
          <w:highlight w:val="none"/>
          <w:lang w:val="en-US" w:eastAsia="zh-CN"/>
        </w:rPr>
        <w:t>建设</w:t>
      </w:r>
      <w:bookmarkEnd w:id="1"/>
      <w:r>
        <w:rPr>
          <w:rFonts w:hint="eastAsia" w:ascii="楷体_GB2312" w:hAnsi="楷体_GB2312" w:eastAsia="楷体_GB2312" w:cs="楷体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支持建设第三方检验检测机构以及中试服务平台、合同定制研发生产服务机构、代工生产服务平台、医疗器械工程化平台等</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支持企业引进研发设计、美妆文化、品牌策划等领域高端人才，支持企业在高校、中等职业学校（含技工学校）等建立人才培育创新基地。</w:t>
      </w:r>
      <w:r>
        <w:rPr>
          <w:rFonts w:hint="eastAsia" w:ascii="仿宋_GB2312" w:hAnsi="华文仿宋" w:eastAsia="仿宋_GB2312"/>
          <w:color w:val="auto"/>
          <w:sz w:val="32"/>
          <w:szCs w:val="32"/>
          <w:lang w:val="en-US" w:eastAsia="zh-CN"/>
        </w:rPr>
        <w:t>支持产业空间供给，</w:t>
      </w:r>
      <w:r>
        <w:rPr>
          <w:rFonts w:hint="eastAsia" w:ascii="仿宋_GB2312" w:hAnsi="华文仿宋" w:eastAsia="仿宋_GB2312"/>
          <w:color w:val="auto"/>
          <w:sz w:val="32"/>
          <w:szCs w:val="32"/>
        </w:rPr>
        <w:t>在</w:t>
      </w:r>
      <w:r>
        <w:rPr>
          <w:rFonts w:hint="eastAsia" w:ascii="仿宋_GB2312" w:hAnsi="华文仿宋" w:eastAsia="仿宋_GB2312"/>
          <w:color w:val="auto"/>
          <w:sz w:val="32"/>
          <w:szCs w:val="32"/>
          <w:highlight w:val="none"/>
          <w:lang w:val="en-US" w:eastAsia="zh-CN"/>
        </w:rPr>
        <w:t>产业化能力提升及相关配套</w:t>
      </w:r>
      <w:r>
        <w:rPr>
          <w:rFonts w:hint="eastAsia" w:ascii="仿宋_GB2312" w:hAnsi="华文仿宋" w:eastAsia="仿宋_GB2312"/>
          <w:color w:val="auto"/>
          <w:sz w:val="32"/>
          <w:szCs w:val="32"/>
        </w:rPr>
        <w:t>方面给予支持。</w:t>
      </w:r>
      <w:r>
        <w:rPr>
          <w:rFonts w:hint="eastAsia" w:ascii="仿宋_GB2312" w:hAnsi="华文仿宋" w:eastAsia="仿宋_GB2312"/>
          <w:color w:val="auto"/>
          <w:sz w:val="32"/>
          <w:szCs w:val="32"/>
          <w:highlight w:val="none"/>
        </w:rPr>
        <w:t>鼓励开展融资业务，助力潜力企业做大做强。</w:t>
      </w:r>
    </w:p>
    <w:p/>
    <w:sectPr>
      <w:pgSz w:w="11906" w:h="16838"/>
      <w:pgMar w:top="1984" w:right="1587" w:bottom="1701"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530BE8"/>
    <w:rsid w:val="0FD201A9"/>
    <w:rsid w:val="2D530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22"/>
    <w:rPr>
      <w:b/>
      <w:bCs/>
    </w:rPr>
  </w:style>
  <w:style w:type="paragraph" w:customStyle="1" w:styleId="7">
    <w:name w:val="正文-未来城"/>
    <w:basedOn w:val="1"/>
    <w:qFormat/>
    <w:uiPriority w:val="0"/>
    <w:pPr>
      <w:spacing w:line="560" w:lineRule="exact"/>
      <w:ind w:firstLine="600" w:firstLineChars="200"/>
      <w:jc w:val="left"/>
    </w:pPr>
    <w:rPr>
      <w:rFonts w:hint="eastAsia" w:ascii="仿宋_GB2312" w:hAnsi="仿宋_GB2312" w:eastAsia="仿宋_GB2312" w:cs="仿宋_GB2312"/>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2025-04-09T01:45:00Z</dcterms:created>
  <dc:creator>孙笑宇</dc:creator>
  <cp:lastModifiedBy>孙笑宇</cp:lastModifiedBy>
  <dcterms:modified xsi:type="dcterms:W3CDTF">2025-04-09T01:46:47Z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