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昌平区中小企业数字化转型城市试点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专项资金实施细则（修订）（征求意见稿）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2023年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宋体" w:eastAsia="仿宋_GB2312"/>
          <w:sz w:val="32"/>
          <w:szCs w:val="32"/>
        </w:rPr>
        <w:t>，昌平区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正式获批</w:t>
      </w:r>
      <w:r>
        <w:rPr>
          <w:rFonts w:hint="eastAsia" w:ascii="仿宋_GB2312" w:hAnsi="宋体" w:eastAsia="仿宋_GB2312"/>
          <w:sz w:val="32"/>
          <w:szCs w:val="32"/>
        </w:rPr>
        <w:t>全国首批中小企业数字化转型试点城市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2024年7月1日，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北京市昌平区经济和信息化局发布《关于印发&lt;昌平区中小企业数字化转型城市试点专项资金实施细则&gt;的通知》（昌经信发〔2024〕2 号）。</w:t>
      </w:r>
      <w:r>
        <w:rPr>
          <w:rStyle w:val="15"/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为深入推进中小企业数字化转型试点城市建设工作，进一步降低试点企业资金投入压力，</w:t>
      </w:r>
      <w:r>
        <w:rPr>
          <w:rFonts w:hint="eastAsia" w:ascii="仿宋_GB2312" w:eastAsia="仿宋_GB2312"/>
          <w:sz w:val="32"/>
          <w:szCs w:val="32"/>
          <w:lang w:eastAsia="zh-CN"/>
        </w:rPr>
        <w:t>激发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相关企业</w:t>
      </w:r>
      <w:r>
        <w:rPr>
          <w:rFonts w:hint="eastAsia" w:ascii="仿宋_GB2312" w:eastAsia="仿宋_GB2312"/>
          <w:sz w:val="32"/>
          <w:szCs w:val="32"/>
          <w:lang w:eastAsia="zh-CN"/>
        </w:rPr>
        <w:t>数字化转型动力，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昌平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经济和信息化局</w:t>
      </w:r>
      <w:r>
        <w:rPr>
          <w:rStyle w:val="15"/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联合北京市昌平区财政局修订并形成了《昌平区中小企业数字化转型城市试点专项资金实施细则（修订）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  <w:r>
        <w:rPr>
          <w:rStyle w:val="15"/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》（以下简称“实施细则”）。</w:t>
      </w:r>
    </w:p>
    <w:p>
      <w:pPr>
        <w:pStyle w:val="7"/>
        <w:numPr>
          <w:ilvl w:val="0"/>
          <w:numId w:val="0"/>
        </w:num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（一）</w:t>
      </w:r>
      <w:r>
        <w:rPr>
          <w:rFonts w:hint="eastAsia" w:ascii="楷体_GB2312" w:eastAsia="楷体_GB2312"/>
          <w:sz w:val="32"/>
          <w:szCs w:val="32"/>
          <w:highlight w:val="none"/>
        </w:rPr>
        <w:t>起草文件环节。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工信部中小企业局部署和我区实际，2024年12月至2025年2月，区经信局先后与工信部中小企业局、市经信局中小企业处、区财政局就《实施细则》的支持范围及标准等内容多次沟通协调，并结合了其他试点城市先进经验，牵头修订形成了《</w:t>
      </w:r>
      <w:r>
        <w:rPr>
          <w:rStyle w:val="15"/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昌平区中小企业数字化转型城市试点专项资金实施细则（修订）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（二）征求意见环节。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区经信局</w:t>
      </w:r>
      <w:r>
        <w:rPr>
          <w:rFonts w:hint="eastAsia" w:ascii="仿宋_GB2312" w:eastAsia="仿宋_GB2312"/>
          <w:sz w:val="32"/>
          <w:szCs w:val="32"/>
          <w:highlight w:val="none"/>
        </w:rPr>
        <w:t>向区相关部门、各镇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（街道）共28家单位书面征求了意见，收到了区市场局、区统计局的反馈意见建议。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（三）修改完善环节。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根据各单位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反馈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及昌平区实际情况</w:t>
      </w:r>
      <w:r>
        <w:rPr>
          <w:rFonts w:hint="eastAsia" w:ascii="仿宋_GB2312" w:eastAsia="仿宋_GB2312"/>
          <w:sz w:val="32"/>
          <w:szCs w:val="32"/>
          <w:highlight w:val="none"/>
        </w:rPr>
        <w:t>对《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实施细则</w:t>
      </w:r>
      <w:r>
        <w:rPr>
          <w:rFonts w:hint="eastAsia" w:ascii="仿宋_GB2312" w:eastAsia="仿宋_GB2312"/>
          <w:sz w:val="32"/>
          <w:szCs w:val="32"/>
          <w:highlight w:val="none"/>
        </w:rPr>
        <w:t>》进行了修改完善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实施细则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共包括总则、支持对象和方式、支持范围和标准、项目管理和资金拨付、申报说明及纪律要求、监督管理与法律责任、附则七部分，重点对数字化改造、“链式”转型等五个方向的支持范围和标准进行了调整，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主要内容如下：</w:t>
      </w:r>
    </w:p>
    <w:p>
      <w:pPr>
        <w:pStyle w:val="7"/>
        <w:spacing w:line="54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（一）数字化改造方向，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增加了“专精特新中小企业每家最高补助100万元”的内容。</w:t>
      </w:r>
    </w:p>
    <w:p>
      <w:pPr>
        <w:pStyle w:val="7"/>
        <w:spacing w:line="54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（二）“小快轻准”方向，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增加了“采购每家服务商的产品或服务实际投入补助累计不超过15万元”限额的内容。</w:t>
      </w:r>
    </w:p>
    <w:p>
      <w:pPr>
        <w:widowControl/>
        <w:spacing w:line="540" w:lineRule="exact"/>
        <w:ind w:firstLine="596" w:firstLineChars="200"/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（三）“链式”转型方向，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将“平台型制造业企业”纳入“链式”转型方向奖补范围，并将链主、龙头或平台企业补助额度提高至最高200万元，中小企业补助额度提高至最高100万元。</w:t>
      </w:r>
    </w:p>
    <w:p>
      <w:pPr>
        <w:widowControl/>
        <w:spacing w:line="54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（四）“示范项目”方向，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增加了获评“北京市工业互联网平台”的奖励50万元的内容。</w:t>
      </w:r>
    </w:p>
    <w:p>
      <w:pPr>
        <w:pStyle w:val="7"/>
        <w:spacing w:line="54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（五）“数字化转型优秀案例”方向，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细化了条款内容，调整为标杆企业、标杆项目和“链式”协同转型模式等优秀案例分类分档奖励，奖励额度由原政策的20万元分别提高至100万元、30万元和50万元。</w:t>
      </w:r>
    </w:p>
    <w:p/>
    <w:sectPr>
      <w:footerReference r:id="rId3" w:type="default"/>
      <w:pgSz w:w="11907" w:h="16840"/>
      <w:pgMar w:top="1843" w:right="1474" w:bottom="1707" w:left="1587" w:header="851" w:footer="992" w:gutter="0"/>
      <w:pgNumType w:fmt="decimal"/>
      <w:cols w:space="0" w:num="1"/>
      <w:rtlGutter w:val="0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Style w:val="1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BD0A2"/>
    <w:multiLevelType w:val="singleLevel"/>
    <w:tmpl w:val="7A6BD0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5867"/>
    <w:rsid w:val="01145609"/>
    <w:rsid w:val="09A2555F"/>
    <w:rsid w:val="0CCB4A77"/>
    <w:rsid w:val="150A64FF"/>
    <w:rsid w:val="15AA7E92"/>
    <w:rsid w:val="196B5912"/>
    <w:rsid w:val="25565941"/>
    <w:rsid w:val="29931445"/>
    <w:rsid w:val="2A84085A"/>
    <w:rsid w:val="2B602E99"/>
    <w:rsid w:val="31D976DD"/>
    <w:rsid w:val="32146967"/>
    <w:rsid w:val="35AF0E81"/>
    <w:rsid w:val="43AF5867"/>
    <w:rsid w:val="45592BB7"/>
    <w:rsid w:val="4F8847C5"/>
    <w:rsid w:val="50125E3D"/>
    <w:rsid w:val="56AB0D99"/>
    <w:rsid w:val="62536638"/>
    <w:rsid w:val="63B24986"/>
    <w:rsid w:val="64A05CB5"/>
    <w:rsid w:val="7FB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楷体_GB2312" w:hAnsi="Times New Roman" w:eastAsia="楷体_GB2312" w:cs="Times New Roman"/>
      <w:kern w:val="2"/>
      <w:sz w:val="28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微软雅黑"/>
      <w:b/>
      <w:bCs/>
      <w:sz w:val="32"/>
      <w:szCs w:val="32"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0" w:firstLineChars="200"/>
    </w:pPr>
    <w:rPr>
      <w:sz w:val="32"/>
    </w:rPr>
  </w:style>
  <w:style w:type="paragraph" w:styleId="5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6">
    <w:name w:val="Body Text"/>
    <w:basedOn w:val="1"/>
    <w:next w:val="1"/>
    <w:qFormat/>
    <w:uiPriority w:val="0"/>
    <w:pPr>
      <w:adjustRightInd w:val="0"/>
      <w:spacing w:line="560" w:lineRule="atLeast"/>
      <w:jc w:val="center"/>
      <w:textAlignment w:val="baseline"/>
    </w:pPr>
    <w:rPr>
      <w:rFonts w:ascii="宋体"/>
      <w:sz w:val="44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jc w:val="left"/>
    </w:pPr>
    <w:rPr>
      <w:rFonts w:asciiTheme="minorHAnsi" w:hAnsiTheme="minorHAnsi" w:eastAsiaTheme="minorEastAsia"/>
      <w:kern w:val="0"/>
      <w:sz w:val="24"/>
    </w:rPr>
  </w:style>
  <w:style w:type="paragraph" w:styleId="12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otnote reference"/>
    <w:basedOn w:val="1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1475</Words>
  <Characters>1520</Characters>
  <Lines>0</Lines>
  <Paragraphs>0</Paragraphs>
  <TotalTime>5</TotalTime>
  <ScaleCrop>false</ScaleCrop>
  <LinksUpToDate>false</LinksUpToDate>
  <CharactersWithSpaces>1521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2024-01-04T08:08:00Z</dcterms:created>
  <dc:creator>Administrator</dc:creator>
  <cp:lastModifiedBy>小野猫JANE</cp:lastModifiedBy>
  <dcterms:modified xsi:type="dcterms:W3CDTF">2025-04-03T06:16:09Z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eyJoZGlkIjoiOTk0NWY2MTFlYWFhYzNkOTcwMTVmNjNiMTM4YTY1YTgiLCJ1c2VySWQiOiI1MjE5MTQ0ODYifQ==</vt:lpwstr>
  </property>
  <property fmtid="{D5CDD505-2E9C-101B-9397-08002B2CF9AE}" pid="4" name="ICV">
    <vt:lpwstr>CF0F726AC43541159FC279AE3EF810EE_13</vt:lpwstr>
  </property>
</Properties>
</file>