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outlineLvl w:val="0"/>
        <w:rPr>
          <w:rFonts w:hint="eastAsia" w:ascii="黑体" w:hAnsi="黑体" w:eastAsia="黑体" w:cs="黑体"/>
          <w:spacing w:val="15"/>
          <w:kern w:val="0"/>
          <w:sz w:val="32"/>
          <w:szCs w:val="32"/>
          <w:shd w:val="clear" w:color="auto" w:fill="FFFFFF"/>
          <w:lang w:val="en-US" w:eastAsia="zh-CN"/>
        </w:rPr>
      </w:pPr>
      <w:r>
        <w:rPr>
          <w:rFonts w:hint="eastAsia" w:ascii="黑体" w:hAnsi="黑体" w:eastAsia="黑体" w:cs="黑体"/>
          <w:spacing w:val="15"/>
          <w:kern w:val="0"/>
          <w:sz w:val="32"/>
          <w:szCs w:val="32"/>
          <w:shd w:val="clear" w:color="auto" w:fill="FFFFFF"/>
        </w:rPr>
        <w:t>附件</w:t>
      </w:r>
      <w:r>
        <w:rPr>
          <w:rFonts w:hint="eastAsia" w:ascii="黑体" w:hAnsi="黑体" w:eastAsia="黑体" w:cs="黑体"/>
          <w:spacing w:val="15"/>
          <w:kern w:val="0"/>
          <w:sz w:val="32"/>
          <w:szCs w:val="32"/>
          <w:shd w:val="clear" w:color="auto" w:fill="FFFFFF"/>
          <w:lang w:val="en-US" w:eastAsia="zh-CN"/>
        </w:rPr>
        <w:t>4</w:t>
      </w:r>
    </w:p>
    <w:p>
      <w:pPr>
        <w:spacing w:line="560" w:lineRule="exact"/>
        <w:jc w:val="left"/>
        <w:outlineLvl w:val="0"/>
        <w:rPr>
          <w:rFonts w:hint="eastAsia" w:ascii="黑体" w:hAnsi="黑体" w:eastAsia="黑体" w:cs="黑体"/>
          <w:spacing w:val="15"/>
          <w:kern w:val="0"/>
          <w:sz w:val="32"/>
          <w:szCs w:val="32"/>
          <w:shd w:val="clear" w:color="auto" w:fill="FFFFFF"/>
          <w:lang w:val="en-US" w:eastAsia="zh-CN"/>
        </w:rPr>
      </w:pPr>
    </w:p>
    <w:p>
      <w:pPr>
        <w:spacing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2025年支持制造业主辅剥离企业奖励</w:t>
      </w:r>
    </w:p>
    <w:p>
      <w:pPr>
        <w:spacing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办事指南</w:t>
      </w:r>
    </w:p>
    <w:p>
      <w:pPr>
        <w:spacing w:line="560" w:lineRule="exact"/>
        <w:rPr>
          <w:rFonts w:hint="eastAsia" w:ascii="仿宋_GB2312" w:hAnsi="仿宋_GB2312" w:eastAsia="仿宋_GB2312" w:cs="仿宋_GB2312"/>
          <w:sz w:val="32"/>
          <w:szCs w:val="32"/>
        </w:rPr>
      </w:pPr>
    </w:p>
    <w:p>
      <w:pPr>
        <w:spacing w:line="560" w:lineRule="exact"/>
        <w:ind w:firstLine="640" w:firstLineChars="200"/>
        <w:outlineLvl w:val="0"/>
        <w:rPr>
          <w:rFonts w:hint="eastAsia" w:ascii="黑体" w:hAnsi="黑体" w:eastAsia="黑体" w:cs="黑体"/>
          <w:kern w:val="0"/>
          <w:sz w:val="32"/>
          <w:szCs w:val="32"/>
        </w:rPr>
      </w:pPr>
      <w:r>
        <w:rPr>
          <w:rFonts w:hint="eastAsia" w:ascii="黑体" w:hAnsi="黑体" w:eastAsia="黑体" w:cs="黑体"/>
          <w:sz w:val="32"/>
          <w:szCs w:val="32"/>
        </w:rPr>
        <w:t>一、政策依据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《关于促进生产性服务业高质量发展的若干措施》中支持政策第5条，促进两业融合。鼓励制造业企业成立信息、科技、商务等独立法人企业，对设立当年升规的生产性服务业企业，给予一次性50万元支持。</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二、申报事项</w:t>
      </w:r>
    </w:p>
    <w:p>
      <w:pPr>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2025年支持制造业主辅剥离企业奖励</w:t>
      </w:r>
    </w:p>
    <w:p>
      <w:pPr>
        <w:spacing w:line="560" w:lineRule="exact"/>
        <w:ind w:firstLine="640" w:firstLineChars="200"/>
        <w:outlineLvl w:val="0"/>
        <w:rPr>
          <w:rFonts w:hint="eastAsia" w:ascii="黑体" w:hAnsi="黑体" w:eastAsia="黑体" w:cs="黑体"/>
          <w:bCs/>
          <w:kern w:val="0"/>
          <w:sz w:val="32"/>
          <w:szCs w:val="32"/>
        </w:rPr>
      </w:pPr>
      <w:r>
        <w:rPr>
          <w:rFonts w:hint="eastAsia" w:ascii="黑体" w:hAnsi="黑体" w:eastAsia="黑体" w:cs="黑体"/>
          <w:bCs/>
          <w:kern w:val="0"/>
          <w:sz w:val="32"/>
          <w:szCs w:val="32"/>
        </w:rPr>
        <w:t>三、申报条件</w:t>
      </w:r>
    </w:p>
    <w:p>
      <w:pPr>
        <w:spacing w:line="56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（一）申报单位为在亦庄新城225平方公里范围内注册并依法经营，</w:t>
      </w:r>
      <w:r>
        <w:rPr>
          <w:rFonts w:hint="eastAsia" w:ascii="仿宋_GB2312" w:hAnsi="仿宋_GB2312" w:eastAsia="仿宋_GB2312" w:cs="仿宋_GB2312"/>
          <w:sz w:val="32"/>
          <w:szCs w:val="32"/>
        </w:rPr>
        <w:t>近三年无重大行政处罚记录和刑事犯罪记录，未列入严重违法失信主体名单的企业</w:t>
      </w:r>
      <w:r>
        <w:rPr>
          <w:rFonts w:hint="eastAsia" w:ascii="仿宋_GB2312" w:hAnsi="仿宋_GB2312" w:eastAsia="仿宋_GB2312" w:cs="仿宋_GB2312"/>
          <w:kern w:val="0"/>
          <w:sz w:val="32"/>
        </w:rPr>
        <w:t>、事业单位、社会组织等法人主体</w:t>
      </w:r>
      <w:r>
        <w:rPr>
          <w:rFonts w:hint="eastAsia" w:ascii="仿宋_GB2312" w:hAnsi="仿宋_GB2312" w:eastAsia="仿宋_GB2312" w:cs="仿宋_GB2312"/>
          <w:bCs/>
          <w:kern w:val="0"/>
          <w:sz w:val="32"/>
          <w:szCs w:val="32"/>
        </w:rPr>
        <w:t>。</w:t>
      </w:r>
    </w:p>
    <w:p>
      <w:pPr>
        <w:widowControl/>
        <w:spacing w:line="560" w:lineRule="exact"/>
        <w:ind w:firstLine="64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w:t>
      </w:r>
      <w:r>
        <w:rPr>
          <w:rFonts w:hint="eastAsia" w:ascii="仿宋_GB2312" w:hAnsi="仿宋_GB2312" w:eastAsia="仿宋_GB2312" w:cs="仿宋_GB2312"/>
          <w:sz w:val="32"/>
          <w:szCs w:val="32"/>
        </w:rPr>
        <w:t>申报单位为制造业主体剥离出来的信息服务业、科技服务业、商务服务业、金融业、交通运输与现代物流业等具有独立企业法人资格的生产性服务业企业，且在2024年7月31日（含）-2025年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日（含）期间在亦庄新城新设立</w:t>
      </w:r>
      <w:r>
        <w:rPr>
          <w:rFonts w:hint="eastAsia" w:ascii="仿宋_GB2312" w:hAnsi="仿宋_GB2312" w:eastAsia="仿宋_GB2312" w:cs="仿宋_GB2312"/>
          <w:bCs/>
          <w:kern w:val="0"/>
          <w:sz w:val="32"/>
          <w:szCs w:val="32"/>
        </w:rPr>
        <w:t>。</w:t>
      </w:r>
    </w:p>
    <w:p>
      <w:pPr>
        <w:widowControl/>
        <w:ind w:firstLine="64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w:t>
      </w:r>
      <w:r>
        <w:rPr>
          <w:rFonts w:hint="eastAsia" w:ascii="仿宋_GB2312" w:eastAsia="仿宋_GB2312"/>
          <w:sz w:val="32"/>
          <w:szCs w:val="32"/>
        </w:rPr>
        <w:t>申报单位应在设立当年纳入</w:t>
      </w:r>
      <w:r>
        <w:rPr>
          <w:rFonts w:hint="eastAsia" w:ascii="仿宋_GB2312" w:hAnsi="仿宋_GB2312" w:eastAsia="仿宋_GB2312" w:cs="仿宋_GB2312"/>
          <w:sz w:val="32"/>
          <w:szCs w:val="32"/>
        </w:rPr>
        <w:t>亦庄新城规模以上</w:t>
      </w:r>
      <w:r>
        <w:rPr>
          <w:rFonts w:hint="eastAsia" w:ascii="仿宋_GB2312" w:eastAsia="仿宋_GB2312"/>
          <w:sz w:val="32"/>
          <w:szCs w:val="32"/>
        </w:rPr>
        <w:t>统计范围</w:t>
      </w:r>
      <w:r>
        <w:rPr>
          <w:rFonts w:hint="eastAsia" w:ascii="仿宋_GB2312" w:hAnsi="仿宋_GB2312" w:eastAsia="仿宋_GB2312" w:cs="仿宋_GB2312"/>
          <w:bCs/>
          <w:kern w:val="0"/>
          <w:sz w:val="32"/>
          <w:szCs w:val="32"/>
        </w:rPr>
        <w:t>。</w:t>
      </w:r>
    </w:p>
    <w:p>
      <w:pPr>
        <w:widowControl/>
        <w:ind w:firstLine="64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w:t>
      </w:r>
      <w:r>
        <w:rPr>
          <w:rFonts w:hint="eastAsia" w:ascii="仿宋_GB2312" w:hAnsi="仿宋_GB2312" w:eastAsia="仿宋_GB2312" w:cs="仿宋_GB2312"/>
          <w:sz w:val="32"/>
          <w:szCs w:val="32"/>
        </w:rPr>
        <w:t>政策有效期内工商注册登记迁出后再次迁回企业，不予核定为“新登记”企业，不纳入本次兑现企业范围</w:t>
      </w:r>
      <w:r>
        <w:rPr>
          <w:rFonts w:hint="eastAsia" w:ascii="仿宋_GB2312" w:hAnsi="仿宋_GB2312" w:eastAsia="仿宋_GB2312" w:cs="仿宋_GB2312"/>
          <w:bCs/>
          <w:kern w:val="0"/>
          <w:sz w:val="32"/>
          <w:szCs w:val="32"/>
        </w:rPr>
        <w:t>。</w:t>
      </w:r>
    </w:p>
    <w:p>
      <w:pPr>
        <w:spacing w:line="560" w:lineRule="exact"/>
        <w:ind w:firstLine="640" w:firstLineChars="200"/>
        <w:outlineLvl w:val="0"/>
        <w:rPr>
          <w:rFonts w:hint="eastAsia" w:ascii="黑体" w:hAnsi="黑体" w:eastAsia="黑体" w:cs="黑体"/>
          <w:bCs/>
          <w:kern w:val="0"/>
          <w:sz w:val="32"/>
          <w:szCs w:val="32"/>
        </w:rPr>
      </w:pPr>
      <w:r>
        <w:rPr>
          <w:rFonts w:hint="eastAsia" w:ascii="黑体" w:hAnsi="黑体" w:eastAsia="黑体" w:cs="黑体"/>
          <w:bCs/>
          <w:kern w:val="0"/>
          <w:sz w:val="32"/>
          <w:szCs w:val="32"/>
        </w:rPr>
        <w:t>四、支持内容及标准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鼓励制造业企业成立信息、科技、商务等独立法人企业，对设立当年升规的生产性服务业企业，给予一次性50万元支持。</w:t>
      </w:r>
    </w:p>
    <w:p>
      <w:pPr>
        <w:spacing w:line="560" w:lineRule="exact"/>
        <w:ind w:firstLine="640" w:firstLineChars="200"/>
        <w:outlineLvl w:val="0"/>
        <w:rPr>
          <w:rFonts w:hint="eastAsia" w:ascii="黑体" w:hAnsi="黑体" w:eastAsia="黑体" w:cs="黑体"/>
          <w:bCs/>
          <w:kern w:val="0"/>
          <w:sz w:val="32"/>
          <w:szCs w:val="32"/>
        </w:rPr>
      </w:pPr>
      <w:r>
        <w:rPr>
          <w:rFonts w:hint="eastAsia" w:ascii="黑体" w:hAnsi="黑体" w:eastAsia="黑体" w:cs="黑体"/>
          <w:bCs/>
          <w:kern w:val="0"/>
          <w:sz w:val="32"/>
          <w:szCs w:val="32"/>
        </w:rPr>
        <w:t>五、申报材料及要求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（一）申报材料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1.2025年支持促进两业融合制造业主辅剥离企业奖励申报表，在线填写；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2.企业营业执照，选取电子证照；</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3.承诺书，下载模板填写，签字、加盖公章，彩色扫描上传；</w:t>
      </w:r>
    </w:p>
    <w:p>
      <w:pPr>
        <w:spacing w:line="560" w:lineRule="exact"/>
        <w:ind w:firstLine="664"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4</w:t>
      </w:r>
      <w:r>
        <w:rPr>
          <w:rFonts w:ascii="仿宋_GB2312" w:hAnsi="仿宋_GB2312" w:eastAsia="仿宋_GB2312" w:cs="仿宋_GB2312"/>
          <w:spacing w:val="6"/>
          <w:sz w:val="32"/>
          <w:szCs w:val="32"/>
        </w:rPr>
        <w:t>.</w:t>
      </w:r>
      <w:r>
        <w:rPr>
          <w:rFonts w:hint="eastAsia" w:ascii="仿宋_GB2312" w:hAnsi="仿宋_GB2312" w:eastAsia="仿宋_GB2312" w:cs="仿宋_GB2312"/>
          <w:sz w:val="32"/>
          <w:szCs w:val="32"/>
        </w:rPr>
        <w:t>银行账户信息，下载模板填写，</w:t>
      </w:r>
      <w:r>
        <w:rPr>
          <w:rFonts w:hint="eastAsia" w:ascii="仿宋_GB2312" w:hAnsi="仿宋_GB2312" w:eastAsia="仿宋_GB2312" w:cs="仿宋_GB2312"/>
          <w:spacing w:val="6"/>
          <w:sz w:val="32"/>
          <w:szCs w:val="32"/>
        </w:rPr>
        <w:t>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5.申报单位与原制造业企业分离的证明材料。主要包括：业务剥离的证明材料（如制造业企业营业执照、出资证明、股东决议、股权变更材料等），原件彩色扫描上传。</w:t>
      </w:r>
    </w:p>
    <w:p>
      <w:pPr>
        <w:spacing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（二）打印纸质材料要求</w:t>
      </w:r>
    </w:p>
    <w:p>
      <w:pPr>
        <w:spacing w:line="560" w:lineRule="exact"/>
        <w:ind w:firstLine="640"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一式三份有序胶装（用浅色封面纸，单本材料厚度不超过2厘米，整本首页、骑缝盖章），其中银行账户信息无需装订，加盖公章，一并递交至受理窗口。</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六、办理程序</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b/>
          <w:bCs/>
          <w:sz w:val="32"/>
          <w:szCs w:val="32"/>
        </w:rPr>
        <w:t>网上申报</w:t>
      </w:r>
      <w:r>
        <w:rPr>
          <w:rFonts w:hint="eastAsia" w:ascii="仿宋_GB2312" w:hAnsi="仿宋_GB2312" w:eastAsia="仿宋_GB2312" w:cs="仿宋_GB2312"/>
          <w:sz w:val="32"/>
          <w:szCs w:val="32"/>
        </w:rPr>
        <w:t>：通过北京市人民政府门户网站“政策兑现”栏目(https://zhengce.beijing.gov.cn)或经开区官网“政策兑现”栏目(zcdx.kfqgw.beijing.gov.cn)进入政策兑现综合服务平台，注册登录后进行项目申报。如未在规定时间内提交申请的，视为自动放弃。</w:t>
      </w:r>
    </w:p>
    <w:p>
      <w:pPr>
        <w:pStyle w:val="8"/>
        <w:widowControl/>
        <w:numPr>
          <w:ilvl w:val="255"/>
          <w:numId w:val="0"/>
        </w:numPr>
        <w:shd w:val="clear" w:color="auto" w:fill="FFFFFF"/>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w:t>
      </w:r>
      <w:r>
        <w:rPr>
          <w:rFonts w:hint="eastAsia" w:ascii="仿宋_GB2312" w:hAnsi="仿宋_GB2312" w:eastAsia="仿宋_GB2312" w:cs="仿宋_GB2312"/>
          <w:b/>
          <w:bCs/>
          <w:kern w:val="2"/>
          <w:sz w:val="32"/>
          <w:szCs w:val="32"/>
        </w:rPr>
        <w:t>初审</w:t>
      </w:r>
      <w:r>
        <w:rPr>
          <w:rFonts w:hint="eastAsia" w:ascii="仿宋_GB2312" w:hAnsi="仿宋_GB2312" w:eastAsia="仿宋_GB2312" w:cs="仿宋_GB2312"/>
          <w:kern w:val="2"/>
          <w:sz w:val="32"/>
          <w:szCs w:val="32"/>
        </w:rPr>
        <w:t>：经开区营商环境建设局对申报主体提交的材料进行完整性审查，材料不齐全或不符合要求的，告知申报主体补齐补正。</w:t>
      </w:r>
    </w:p>
    <w:p>
      <w:pPr>
        <w:pStyle w:val="8"/>
        <w:widowControl/>
        <w:shd w:val="clear" w:color="auto" w:fill="FFFFFF"/>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w:t>
      </w:r>
      <w:r>
        <w:rPr>
          <w:rFonts w:hint="eastAsia" w:ascii="仿宋_GB2312" w:hAnsi="仿宋_GB2312" w:eastAsia="仿宋_GB2312" w:cs="仿宋_GB2312"/>
          <w:b/>
          <w:bCs/>
          <w:kern w:val="2"/>
          <w:sz w:val="32"/>
          <w:szCs w:val="32"/>
        </w:rPr>
        <w:t>审核</w:t>
      </w:r>
      <w:r>
        <w:rPr>
          <w:rFonts w:hint="eastAsia" w:ascii="仿宋_GB2312" w:hAnsi="仿宋_GB2312" w:eastAsia="仿宋_GB2312" w:cs="仿宋_GB2312"/>
          <w:kern w:val="2"/>
          <w:sz w:val="32"/>
          <w:szCs w:val="32"/>
        </w:rPr>
        <w:t>：经开区</w:t>
      </w:r>
      <w:r>
        <w:rPr>
          <w:rFonts w:hint="eastAsia" w:ascii="仿宋_GB2312" w:hAnsi="仿宋_GB2312" w:eastAsia="仿宋_GB2312" w:cs="仿宋_GB2312"/>
          <w:sz w:val="32"/>
          <w:szCs w:val="32"/>
        </w:rPr>
        <w:t>经济发展局</w:t>
      </w:r>
      <w:r>
        <w:rPr>
          <w:rFonts w:hint="eastAsia" w:ascii="仿宋_GB2312" w:hAnsi="仿宋_GB2312" w:eastAsia="仿宋_GB2312" w:cs="仿宋_GB2312"/>
          <w:kern w:val="2"/>
          <w:sz w:val="32"/>
          <w:szCs w:val="32"/>
        </w:rPr>
        <w:t>对申请材料进行实质审核。</w:t>
      </w:r>
    </w:p>
    <w:p>
      <w:pPr>
        <w:pStyle w:val="8"/>
        <w:widowControl/>
        <w:shd w:val="clear" w:color="auto" w:fill="FFFFFF"/>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w:t>
      </w:r>
      <w:r>
        <w:rPr>
          <w:rFonts w:hint="eastAsia" w:ascii="仿宋_GB2312" w:hAnsi="仿宋_GB2312" w:eastAsia="仿宋_GB2312" w:cs="仿宋_GB2312"/>
          <w:b/>
          <w:bCs/>
          <w:kern w:val="2"/>
          <w:sz w:val="32"/>
          <w:szCs w:val="32"/>
        </w:rPr>
        <w:t>确定扶持结果</w:t>
      </w:r>
      <w:r>
        <w:rPr>
          <w:rFonts w:hint="eastAsia" w:ascii="仿宋_GB2312" w:hAnsi="仿宋_GB2312" w:eastAsia="仿宋_GB2312" w:cs="仿宋_GB2312"/>
          <w:kern w:val="2"/>
          <w:sz w:val="32"/>
          <w:szCs w:val="32"/>
        </w:rPr>
        <w:t>：经开区</w:t>
      </w:r>
      <w:r>
        <w:rPr>
          <w:rFonts w:hint="eastAsia" w:ascii="仿宋_GB2312" w:hAnsi="仿宋_GB2312" w:eastAsia="仿宋_GB2312" w:cs="仿宋_GB2312"/>
          <w:sz w:val="32"/>
          <w:szCs w:val="32"/>
        </w:rPr>
        <w:t>经济发展局</w:t>
      </w:r>
      <w:r>
        <w:rPr>
          <w:rFonts w:hint="eastAsia" w:ascii="仿宋_GB2312" w:hAnsi="仿宋_GB2312" w:eastAsia="仿宋_GB2312" w:cs="仿宋_GB2312"/>
          <w:kern w:val="2"/>
          <w:sz w:val="32"/>
          <w:szCs w:val="32"/>
        </w:rPr>
        <w:t>对审核通过的申报主体拟定兑现扶持奖励金额。</w:t>
      </w:r>
    </w:p>
    <w:p>
      <w:pPr>
        <w:pStyle w:val="8"/>
        <w:widowControl/>
        <w:shd w:val="clear" w:color="auto" w:fill="FFFFFF"/>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w:t>
      </w:r>
      <w:r>
        <w:rPr>
          <w:rFonts w:hint="eastAsia" w:ascii="仿宋_GB2312" w:hAnsi="仿宋_GB2312" w:eastAsia="仿宋_GB2312" w:cs="仿宋_GB2312"/>
          <w:b/>
          <w:bCs/>
          <w:kern w:val="2"/>
          <w:sz w:val="32"/>
          <w:szCs w:val="32"/>
        </w:rPr>
        <w:t>公示</w:t>
      </w:r>
      <w:r>
        <w:rPr>
          <w:rFonts w:hint="eastAsia" w:ascii="仿宋_GB2312" w:hAnsi="仿宋_GB2312" w:eastAsia="仿宋_GB2312" w:cs="仿宋_GB2312"/>
          <w:kern w:val="2"/>
          <w:sz w:val="32"/>
          <w:szCs w:val="32"/>
        </w:rPr>
        <w:t>：经开区</w:t>
      </w:r>
      <w:r>
        <w:rPr>
          <w:rFonts w:hint="eastAsia" w:ascii="仿宋_GB2312" w:hAnsi="仿宋_GB2312" w:eastAsia="仿宋_GB2312" w:cs="仿宋_GB2312"/>
          <w:sz w:val="32"/>
          <w:szCs w:val="32"/>
        </w:rPr>
        <w:t>经济发展局</w:t>
      </w:r>
      <w:r>
        <w:rPr>
          <w:rFonts w:hint="eastAsia" w:ascii="仿宋_GB2312" w:hAnsi="仿宋_GB2312" w:eastAsia="仿宋_GB2312" w:cs="仿宋_GB2312"/>
          <w:kern w:val="2"/>
          <w:sz w:val="32"/>
          <w:szCs w:val="32"/>
        </w:rPr>
        <w:t>通过政策兑现综合服务平台对审核通过的申报主体进行公示。</w:t>
      </w:r>
    </w:p>
    <w:p>
      <w:pPr>
        <w:pStyle w:val="8"/>
        <w:widowControl/>
        <w:shd w:val="clear" w:color="auto" w:fill="FFFFFF"/>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（六）</w:t>
      </w:r>
      <w:r>
        <w:rPr>
          <w:rFonts w:hint="eastAsia" w:ascii="仿宋_GB2312" w:hAnsi="仿宋_GB2312" w:eastAsia="仿宋_GB2312" w:cs="仿宋_GB2312"/>
          <w:b/>
          <w:bCs/>
          <w:kern w:val="2"/>
          <w:sz w:val="32"/>
          <w:szCs w:val="32"/>
        </w:rPr>
        <w:t>资金拨付</w:t>
      </w:r>
      <w:r>
        <w:rPr>
          <w:rFonts w:hint="eastAsia" w:ascii="仿宋_GB2312" w:hAnsi="仿宋_GB2312" w:eastAsia="仿宋_GB2312" w:cs="仿宋_GB2312"/>
          <w:kern w:val="2"/>
          <w:sz w:val="32"/>
          <w:szCs w:val="32"/>
        </w:rPr>
        <w:t>：经公示无异议的，经开区综合服务保障中心完成资金拨付工作。</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七、主责部门</w:t>
      </w:r>
    </w:p>
    <w:p>
      <w:pPr>
        <w:spacing w:line="560" w:lineRule="exact"/>
        <w:ind w:firstLine="640" w:firstLineChars="200"/>
        <w:rPr>
          <w:rFonts w:eastAsia="仿宋_GB2312" w:cs="仿宋_GB2312"/>
          <w:sz w:val="32"/>
          <w:szCs w:val="32"/>
        </w:rPr>
      </w:pPr>
      <w:r>
        <w:rPr>
          <w:rFonts w:hint="eastAsia" w:eastAsia="仿宋_GB2312" w:cs="仿宋_GB2312"/>
          <w:sz w:val="32"/>
          <w:szCs w:val="32"/>
        </w:rPr>
        <w:t>经开区</w:t>
      </w:r>
      <w:r>
        <w:rPr>
          <w:rFonts w:hint="eastAsia" w:ascii="仿宋_GB2312" w:hAnsi="仿宋_GB2312" w:eastAsia="仿宋_GB2312" w:cs="仿宋_GB2312"/>
          <w:sz w:val="32"/>
          <w:szCs w:val="32"/>
        </w:rPr>
        <w:t>经济发展局</w:t>
      </w:r>
    </w:p>
    <w:p>
      <w:pPr>
        <w:numPr>
          <w:ilvl w:val="0"/>
          <w:numId w:val="1"/>
        </w:num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受理窗口</w:t>
      </w:r>
    </w:p>
    <w:p>
      <w:pPr>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北京经济技术开发区万源街4号政务服务大厅“政策申报”窗口</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九、申报时间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日至2025年12月31日</w:t>
      </w:r>
    </w:p>
    <w:p>
      <w:pPr>
        <w:numPr>
          <w:ilvl w:val="255"/>
          <w:numId w:val="0"/>
        </w:numPr>
        <w:spacing w:line="560" w:lineRule="exact"/>
        <w:ind w:firstLine="640" w:firstLineChars="200"/>
        <w:outlineLvl w:val="0"/>
        <w:rPr>
          <w:rFonts w:eastAsia="仿宋_GB2312"/>
          <w:sz w:val="32"/>
          <w:szCs w:val="32"/>
        </w:rPr>
      </w:pPr>
      <w:r>
        <w:rPr>
          <w:rFonts w:hint="eastAsia" w:ascii="黑体" w:hAnsi="黑体" w:eastAsia="黑体" w:cs="黑体"/>
          <w:sz w:val="32"/>
          <w:szCs w:val="32"/>
        </w:rPr>
        <w:t>十、</w:t>
      </w:r>
      <w:bookmarkStart w:id="0" w:name="_GoBack"/>
      <w:bookmarkEnd w:id="0"/>
      <w:r>
        <w:rPr>
          <w:rFonts w:hint="eastAsia" w:ascii="黑体" w:hAnsi="黑体" w:eastAsia="黑体" w:cs="黑体"/>
          <w:sz w:val="32"/>
          <w:szCs w:val="32"/>
        </w:rPr>
        <w:t>联系方式</w:t>
      </w:r>
    </w:p>
    <w:p>
      <w:pPr>
        <w:ind w:firstLine="640" w:firstLineChars="200"/>
        <w:rPr>
          <w:rFonts w:eastAsia="仿宋_GB2312"/>
          <w:sz w:val="32"/>
          <w:szCs w:val="32"/>
        </w:rPr>
      </w:pPr>
      <w:r>
        <w:rPr>
          <w:rFonts w:hint="eastAsia" w:eastAsia="仿宋_GB2312"/>
          <w:sz w:val="32"/>
          <w:szCs w:val="32"/>
        </w:rPr>
        <w:t>政策咨询：</w:t>
      </w:r>
    </w:p>
    <w:p>
      <w:pPr>
        <w:ind w:firstLine="640" w:firstLineChars="200"/>
        <w:rPr>
          <w:rFonts w:eastAsia="仿宋_GB2312"/>
          <w:sz w:val="32"/>
          <w:szCs w:val="32"/>
        </w:rPr>
      </w:pPr>
      <w:r>
        <w:rPr>
          <w:rFonts w:hint="eastAsia" w:eastAsia="仿宋_GB2312"/>
          <w:sz w:val="32"/>
          <w:szCs w:val="32"/>
        </w:rPr>
        <w:t>经开区政务服务大厅“政策申报”窗口，联系电话：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ind w:firstLine="640" w:firstLineChars="200"/>
        <w:rPr>
          <w:rFonts w:eastAsia="仿宋_GB2312"/>
          <w:sz w:val="32"/>
          <w:szCs w:val="32"/>
        </w:rPr>
      </w:pPr>
      <w:r>
        <w:rPr>
          <w:rFonts w:hint="eastAsia" w:eastAsia="仿宋_GB2312"/>
          <w:sz w:val="32"/>
          <w:szCs w:val="32"/>
        </w:rPr>
        <w:t>经开</w:t>
      </w:r>
      <w:r>
        <w:rPr>
          <w:rFonts w:hint="eastAsia" w:ascii="仿宋_GB2312" w:hAnsi="仿宋_GB2312" w:eastAsia="仿宋_GB2312" w:cs="仿宋_GB2312"/>
          <w:sz w:val="32"/>
          <w:szCs w:val="32"/>
        </w:rPr>
        <w:t>区经济发展局，联系电话：010-67880304，工作日上午9:00—12:00，下午2:00—6:00。</w:t>
      </w:r>
    </w:p>
    <w:p>
      <w:pPr>
        <w:ind w:firstLine="640" w:firstLineChars="200"/>
        <w:rPr>
          <w:rFonts w:eastAsia="仿宋_GB2312"/>
          <w:sz w:val="32"/>
          <w:szCs w:val="32"/>
        </w:rPr>
      </w:pPr>
      <w:r>
        <w:rPr>
          <w:rFonts w:hint="eastAsia" w:eastAsia="仿宋_GB2312"/>
          <w:sz w:val="32"/>
          <w:szCs w:val="32"/>
        </w:rPr>
        <w:t>技术支持：</w:t>
      </w:r>
    </w:p>
    <w:p>
      <w:pPr>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：010-67857638，工作日上午9:00—12:00，下午2:00—6:00。</w:t>
      </w:r>
    </w:p>
    <w:p>
      <w:pPr>
        <w:spacing w:line="560" w:lineRule="exact"/>
        <w:ind w:firstLine="640" w:firstLineChars="200"/>
        <w:outlineLvl w:val="0"/>
        <w:rPr>
          <w:rFonts w:hint="eastAsia" w:ascii="仿宋_GB2312" w:hAnsi="仿宋_GB2312" w:eastAsia="仿宋_GB2312" w:cs="仿宋_GB2312"/>
          <w:sz w:val="32"/>
          <w:szCs w:val="32"/>
        </w:rPr>
      </w:pPr>
      <w:r>
        <w:rPr>
          <w:rFonts w:hint="eastAsia" w:ascii="黑体" w:hAnsi="黑体" w:eastAsia="黑体" w:cs="黑体"/>
          <w:sz w:val="32"/>
          <w:szCs w:val="32"/>
        </w:rPr>
        <w:t>十一、收费标准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十二、特别说明</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Arial">
    <w:altName w:val="DejaVu San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CC5830"/>
    <w:multiLevelType w:val="singleLevel"/>
    <w:tmpl w:val="FFCC5830"/>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Zjc3MDc3MDBkMjhkMDEwOWZhZTUxNjQ3MWY2NWEifQ=="/>
  </w:docVars>
  <w:rsids>
    <w:rsidRoot w:val="00360EF1"/>
    <w:rsid w:val="0001192B"/>
    <w:rsid w:val="00020EC8"/>
    <w:rsid w:val="00060052"/>
    <w:rsid w:val="00062C5F"/>
    <w:rsid w:val="000A1342"/>
    <w:rsid w:val="000F62F2"/>
    <w:rsid w:val="001145E7"/>
    <w:rsid w:val="0011525D"/>
    <w:rsid w:val="00124886"/>
    <w:rsid w:val="00161422"/>
    <w:rsid w:val="00161CCE"/>
    <w:rsid w:val="00165F8E"/>
    <w:rsid w:val="001E30A4"/>
    <w:rsid w:val="00263FBB"/>
    <w:rsid w:val="00277C92"/>
    <w:rsid w:val="002838D9"/>
    <w:rsid w:val="00291104"/>
    <w:rsid w:val="002D4178"/>
    <w:rsid w:val="00331FC1"/>
    <w:rsid w:val="00360EF1"/>
    <w:rsid w:val="00395968"/>
    <w:rsid w:val="00395F17"/>
    <w:rsid w:val="0041752A"/>
    <w:rsid w:val="00437F78"/>
    <w:rsid w:val="00457B4D"/>
    <w:rsid w:val="004A4833"/>
    <w:rsid w:val="00530096"/>
    <w:rsid w:val="00573E09"/>
    <w:rsid w:val="005B5152"/>
    <w:rsid w:val="005C0BF5"/>
    <w:rsid w:val="005F36D1"/>
    <w:rsid w:val="0062252C"/>
    <w:rsid w:val="006379AC"/>
    <w:rsid w:val="00655D5D"/>
    <w:rsid w:val="006A1513"/>
    <w:rsid w:val="006A664F"/>
    <w:rsid w:val="006B706F"/>
    <w:rsid w:val="006D0140"/>
    <w:rsid w:val="00710378"/>
    <w:rsid w:val="00737AAC"/>
    <w:rsid w:val="007D6651"/>
    <w:rsid w:val="007F099A"/>
    <w:rsid w:val="00803938"/>
    <w:rsid w:val="008045A4"/>
    <w:rsid w:val="008130B8"/>
    <w:rsid w:val="00823521"/>
    <w:rsid w:val="00844BDB"/>
    <w:rsid w:val="0087710D"/>
    <w:rsid w:val="00900A14"/>
    <w:rsid w:val="00923A77"/>
    <w:rsid w:val="00973823"/>
    <w:rsid w:val="0098077A"/>
    <w:rsid w:val="009B6C96"/>
    <w:rsid w:val="009D0B84"/>
    <w:rsid w:val="009E5F17"/>
    <w:rsid w:val="00A30430"/>
    <w:rsid w:val="00A3406B"/>
    <w:rsid w:val="00A85C2D"/>
    <w:rsid w:val="00AB3AC1"/>
    <w:rsid w:val="00AC6548"/>
    <w:rsid w:val="00AF284E"/>
    <w:rsid w:val="00B10A17"/>
    <w:rsid w:val="00B1202D"/>
    <w:rsid w:val="00B74D80"/>
    <w:rsid w:val="00C122AB"/>
    <w:rsid w:val="00D259A0"/>
    <w:rsid w:val="00D455F1"/>
    <w:rsid w:val="00D460B2"/>
    <w:rsid w:val="00D668C9"/>
    <w:rsid w:val="00D76185"/>
    <w:rsid w:val="00D85A9F"/>
    <w:rsid w:val="00D961B2"/>
    <w:rsid w:val="00DC04D8"/>
    <w:rsid w:val="00DF7D00"/>
    <w:rsid w:val="00EA199B"/>
    <w:rsid w:val="00F0512E"/>
    <w:rsid w:val="00F416E2"/>
    <w:rsid w:val="00FA7C87"/>
    <w:rsid w:val="00FD246B"/>
    <w:rsid w:val="00FF3298"/>
    <w:rsid w:val="01540D91"/>
    <w:rsid w:val="01586909"/>
    <w:rsid w:val="015C7ADB"/>
    <w:rsid w:val="01904DED"/>
    <w:rsid w:val="01CB7B50"/>
    <w:rsid w:val="01D948CF"/>
    <w:rsid w:val="020C0B78"/>
    <w:rsid w:val="0225322D"/>
    <w:rsid w:val="02297D4E"/>
    <w:rsid w:val="026102BC"/>
    <w:rsid w:val="0278373A"/>
    <w:rsid w:val="0290748C"/>
    <w:rsid w:val="03056B13"/>
    <w:rsid w:val="032269ED"/>
    <w:rsid w:val="037C128E"/>
    <w:rsid w:val="03987D96"/>
    <w:rsid w:val="03E353C9"/>
    <w:rsid w:val="03FA3EE0"/>
    <w:rsid w:val="04080ECA"/>
    <w:rsid w:val="04481432"/>
    <w:rsid w:val="04737D47"/>
    <w:rsid w:val="048B28B7"/>
    <w:rsid w:val="04BF0B67"/>
    <w:rsid w:val="05206856"/>
    <w:rsid w:val="052A15A0"/>
    <w:rsid w:val="05933C0C"/>
    <w:rsid w:val="05AE227A"/>
    <w:rsid w:val="05AE34A7"/>
    <w:rsid w:val="05D14D85"/>
    <w:rsid w:val="06113255"/>
    <w:rsid w:val="0646239C"/>
    <w:rsid w:val="06B62BF6"/>
    <w:rsid w:val="06C149C2"/>
    <w:rsid w:val="06D3553D"/>
    <w:rsid w:val="06E50A7A"/>
    <w:rsid w:val="06FE1C51"/>
    <w:rsid w:val="071F630D"/>
    <w:rsid w:val="072A1178"/>
    <w:rsid w:val="074E6B15"/>
    <w:rsid w:val="0780307B"/>
    <w:rsid w:val="078B6DBE"/>
    <w:rsid w:val="07936930"/>
    <w:rsid w:val="07B11C5A"/>
    <w:rsid w:val="0840700F"/>
    <w:rsid w:val="08925D0E"/>
    <w:rsid w:val="089620E8"/>
    <w:rsid w:val="08A45B0A"/>
    <w:rsid w:val="08A825A4"/>
    <w:rsid w:val="08B97A0D"/>
    <w:rsid w:val="08BF34BA"/>
    <w:rsid w:val="08D44C62"/>
    <w:rsid w:val="092E74E3"/>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816F03"/>
    <w:rsid w:val="0EAB08F2"/>
    <w:rsid w:val="0EAD26D4"/>
    <w:rsid w:val="0ED00FB9"/>
    <w:rsid w:val="0EE86C1D"/>
    <w:rsid w:val="0F131376"/>
    <w:rsid w:val="0F193762"/>
    <w:rsid w:val="0F221A0E"/>
    <w:rsid w:val="0F8C27FB"/>
    <w:rsid w:val="0F934289"/>
    <w:rsid w:val="0FA61C25"/>
    <w:rsid w:val="0FF757D0"/>
    <w:rsid w:val="101D1DF8"/>
    <w:rsid w:val="10452D67"/>
    <w:rsid w:val="106018C4"/>
    <w:rsid w:val="10653491"/>
    <w:rsid w:val="10706EEF"/>
    <w:rsid w:val="1092296C"/>
    <w:rsid w:val="10A01313"/>
    <w:rsid w:val="10C13CF3"/>
    <w:rsid w:val="117D2BA9"/>
    <w:rsid w:val="118F3527"/>
    <w:rsid w:val="11CA43B8"/>
    <w:rsid w:val="11D62CBE"/>
    <w:rsid w:val="121B617A"/>
    <w:rsid w:val="1252310C"/>
    <w:rsid w:val="12E52159"/>
    <w:rsid w:val="12EE4885"/>
    <w:rsid w:val="13290CC0"/>
    <w:rsid w:val="14036F1C"/>
    <w:rsid w:val="14051437"/>
    <w:rsid w:val="142723BB"/>
    <w:rsid w:val="14483333"/>
    <w:rsid w:val="144F1126"/>
    <w:rsid w:val="14942D13"/>
    <w:rsid w:val="14977ACF"/>
    <w:rsid w:val="14A407D6"/>
    <w:rsid w:val="14C97228"/>
    <w:rsid w:val="15026CFF"/>
    <w:rsid w:val="151415E7"/>
    <w:rsid w:val="153730CA"/>
    <w:rsid w:val="15526AEE"/>
    <w:rsid w:val="15553FBA"/>
    <w:rsid w:val="157E1A27"/>
    <w:rsid w:val="15AF3425"/>
    <w:rsid w:val="15B34768"/>
    <w:rsid w:val="15F61B74"/>
    <w:rsid w:val="160B7C23"/>
    <w:rsid w:val="162B13C4"/>
    <w:rsid w:val="16B91EF1"/>
    <w:rsid w:val="17261A0A"/>
    <w:rsid w:val="17286EDC"/>
    <w:rsid w:val="173A2F14"/>
    <w:rsid w:val="17AF44C7"/>
    <w:rsid w:val="17C45824"/>
    <w:rsid w:val="17C86D9E"/>
    <w:rsid w:val="183712FC"/>
    <w:rsid w:val="189F5C4C"/>
    <w:rsid w:val="18DF1E8D"/>
    <w:rsid w:val="18F4326C"/>
    <w:rsid w:val="191F2981"/>
    <w:rsid w:val="19612585"/>
    <w:rsid w:val="196452DD"/>
    <w:rsid w:val="197A58E4"/>
    <w:rsid w:val="19856C91"/>
    <w:rsid w:val="19B8431B"/>
    <w:rsid w:val="19DB76A4"/>
    <w:rsid w:val="19EC634B"/>
    <w:rsid w:val="19F32EB8"/>
    <w:rsid w:val="1A0B0313"/>
    <w:rsid w:val="1A0C4625"/>
    <w:rsid w:val="1AB25631"/>
    <w:rsid w:val="1AC627E0"/>
    <w:rsid w:val="1AF423CA"/>
    <w:rsid w:val="1B714996"/>
    <w:rsid w:val="1B8109FE"/>
    <w:rsid w:val="1B8D4C8F"/>
    <w:rsid w:val="1B9377B6"/>
    <w:rsid w:val="1BB56B5C"/>
    <w:rsid w:val="1C14717E"/>
    <w:rsid w:val="1C1B504A"/>
    <w:rsid w:val="1C2B4E13"/>
    <w:rsid w:val="1C3B6D59"/>
    <w:rsid w:val="1C5A0218"/>
    <w:rsid w:val="1C6E285C"/>
    <w:rsid w:val="1C7B6FF9"/>
    <w:rsid w:val="1D075252"/>
    <w:rsid w:val="1D451EB0"/>
    <w:rsid w:val="1D615728"/>
    <w:rsid w:val="1D761D5A"/>
    <w:rsid w:val="1E3278A5"/>
    <w:rsid w:val="1E447CA3"/>
    <w:rsid w:val="1ED331FC"/>
    <w:rsid w:val="1ED6487D"/>
    <w:rsid w:val="1EFD05E9"/>
    <w:rsid w:val="1EFE4506"/>
    <w:rsid w:val="1F0F5065"/>
    <w:rsid w:val="1F1A6E4C"/>
    <w:rsid w:val="1F6331B2"/>
    <w:rsid w:val="1F7E5737"/>
    <w:rsid w:val="1FA01FC8"/>
    <w:rsid w:val="1FA9441B"/>
    <w:rsid w:val="1FB0019C"/>
    <w:rsid w:val="1FD94394"/>
    <w:rsid w:val="1FDB376F"/>
    <w:rsid w:val="202F1362"/>
    <w:rsid w:val="20422CC7"/>
    <w:rsid w:val="20616F01"/>
    <w:rsid w:val="20830764"/>
    <w:rsid w:val="20AA00DB"/>
    <w:rsid w:val="20C93EA2"/>
    <w:rsid w:val="20CC2FA6"/>
    <w:rsid w:val="20D514AE"/>
    <w:rsid w:val="20DE69DC"/>
    <w:rsid w:val="2117052E"/>
    <w:rsid w:val="21335EBD"/>
    <w:rsid w:val="21835613"/>
    <w:rsid w:val="21B6442D"/>
    <w:rsid w:val="21C06C9F"/>
    <w:rsid w:val="21D10780"/>
    <w:rsid w:val="220962A9"/>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6AF149B"/>
    <w:rsid w:val="271005EA"/>
    <w:rsid w:val="2727206E"/>
    <w:rsid w:val="273D6D1B"/>
    <w:rsid w:val="275E3649"/>
    <w:rsid w:val="2768133E"/>
    <w:rsid w:val="27721755"/>
    <w:rsid w:val="27874815"/>
    <w:rsid w:val="281D6715"/>
    <w:rsid w:val="286873FE"/>
    <w:rsid w:val="288627FF"/>
    <w:rsid w:val="28942D3D"/>
    <w:rsid w:val="28A332E9"/>
    <w:rsid w:val="29581C68"/>
    <w:rsid w:val="29857C2F"/>
    <w:rsid w:val="29D97CC6"/>
    <w:rsid w:val="2A1D0ADC"/>
    <w:rsid w:val="2A5F7219"/>
    <w:rsid w:val="2AB25697"/>
    <w:rsid w:val="2ACF7AB8"/>
    <w:rsid w:val="2B035A09"/>
    <w:rsid w:val="2B2024A7"/>
    <w:rsid w:val="2B833D12"/>
    <w:rsid w:val="2B9B0A58"/>
    <w:rsid w:val="2BA7027E"/>
    <w:rsid w:val="2BAB54C5"/>
    <w:rsid w:val="2BC05AF8"/>
    <w:rsid w:val="2BE54D11"/>
    <w:rsid w:val="2C522435"/>
    <w:rsid w:val="2C8127DC"/>
    <w:rsid w:val="2D2A602F"/>
    <w:rsid w:val="2D6B0ED7"/>
    <w:rsid w:val="2D715293"/>
    <w:rsid w:val="2D7649D6"/>
    <w:rsid w:val="2DA064BD"/>
    <w:rsid w:val="2E236E07"/>
    <w:rsid w:val="2E2B3CCA"/>
    <w:rsid w:val="2E491136"/>
    <w:rsid w:val="2EC908A3"/>
    <w:rsid w:val="2ED73427"/>
    <w:rsid w:val="2F2F2A58"/>
    <w:rsid w:val="2F5D1137"/>
    <w:rsid w:val="2F6E0190"/>
    <w:rsid w:val="2F8A5E77"/>
    <w:rsid w:val="2F8D4635"/>
    <w:rsid w:val="3012512B"/>
    <w:rsid w:val="30140526"/>
    <w:rsid w:val="306E5387"/>
    <w:rsid w:val="30AB0C90"/>
    <w:rsid w:val="310A0BC4"/>
    <w:rsid w:val="31281962"/>
    <w:rsid w:val="312A1C2B"/>
    <w:rsid w:val="315A3762"/>
    <w:rsid w:val="31624147"/>
    <w:rsid w:val="317A5B80"/>
    <w:rsid w:val="31AA66BF"/>
    <w:rsid w:val="31D65AF9"/>
    <w:rsid w:val="31FF09FF"/>
    <w:rsid w:val="3201564A"/>
    <w:rsid w:val="321C265E"/>
    <w:rsid w:val="32343B0A"/>
    <w:rsid w:val="32A70709"/>
    <w:rsid w:val="32FE69F0"/>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E95DAE"/>
    <w:rsid w:val="37184DFF"/>
    <w:rsid w:val="37B84612"/>
    <w:rsid w:val="37C93788"/>
    <w:rsid w:val="37EF6300"/>
    <w:rsid w:val="37FD7B6F"/>
    <w:rsid w:val="380942B0"/>
    <w:rsid w:val="381C1A0E"/>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B64655"/>
    <w:rsid w:val="3BDA7DE5"/>
    <w:rsid w:val="3C2F160E"/>
    <w:rsid w:val="3C5F033A"/>
    <w:rsid w:val="3CD117BD"/>
    <w:rsid w:val="3CF83180"/>
    <w:rsid w:val="3D0B1E04"/>
    <w:rsid w:val="3D23696B"/>
    <w:rsid w:val="3D7818D4"/>
    <w:rsid w:val="3D94503B"/>
    <w:rsid w:val="3DAA6DAB"/>
    <w:rsid w:val="3DD55352"/>
    <w:rsid w:val="3DD73586"/>
    <w:rsid w:val="3DE32562"/>
    <w:rsid w:val="3E20508B"/>
    <w:rsid w:val="3E7C375D"/>
    <w:rsid w:val="3ED12338"/>
    <w:rsid w:val="3EE438FE"/>
    <w:rsid w:val="3EF468CE"/>
    <w:rsid w:val="3F087986"/>
    <w:rsid w:val="3F31781F"/>
    <w:rsid w:val="3F346049"/>
    <w:rsid w:val="3F3D4664"/>
    <w:rsid w:val="3F580B78"/>
    <w:rsid w:val="3F852495"/>
    <w:rsid w:val="3FBC30E1"/>
    <w:rsid w:val="3FD009E6"/>
    <w:rsid w:val="3FD4707F"/>
    <w:rsid w:val="3FFD57FE"/>
    <w:rsid w:val="40945F74"/>
    <w:rsid w:val="409D6C96"/>
    <w:rsid w:val="40A50B34"/>
    <w:rsid w:val="40C0750A"/>
    <w:rsid w:val="40C84811"/>
    <w:rsid w:val="410178FA"/>
    <w:rsid w:val="419C40BE"/>
    <w:rsid w:val="41A74911"/>
    <w:rsid w:val="41B2164A"/>
    <w:rsid w:val="41C24932"/>
    <w:rsid w:val="41EE09AD"/>
    <w:rsid w:val="42271CA4"/>
    <w:rsid w:val="4229044C"/>
    <w:rsid w:val="423A4979"/>
    <w:rsid w:val="42553C37"/>
    <w:rsid w:val="4275720E"/>
    <w:rsid w:val="42AB283A"/>
    <w:rsid w:val="43465CD3"/>
    <w:rsid w:val="44256103"/>
    <w:rsid w:val="444923EA"/>
    <w:rsid w:val="444B0022"/>
    <w:rsid w:val="445E5EFA"/>
    <w:rsid w:val="445F1218"/>
    <w:rsid w:val="44993F4E"/>
    <w:rsid w:val="44F72146"/>
    <w:rsid w:val="451D1671"/>
    <w:rsid w:val="45276590"/>
    <w:rsid w:val="452B2CE7"/>
    <w:rsid w:val="459F5DC5"/>
    <w:rsid w:val="45BE780D"/>
    <w:rsid w:val="45C327BF"/>
    <w:rsid w:val="45DB5022"/>
    <w:rsid w:val="45DE6545"/>
    <w:rsid w:val="4634401A"/>
    <w:rsid w:val="46352992"/>
    <w:rsid w:val="467F7F60"/>
    <w:rsid w:val="468E4F4F"/>
    <w:rsid w:val="469D497C"/>
    <w:rsid w:val="46C07C6D"/>
    <w:rsid w:val="46D46FCB"/>
    <w:rsid w:val="46F44A2C"/>
    <w:rsid w:val="473F0C29"/>
    <w:rsid w:val="474159DD"/>
    <w:rsid w:val="476449AD"/>
    <w:rsid w:val="48045B63"/>
    <w:rsid w:val="484F2842"/>
    <w:rsid w:val="48A73B6F"/>
    <w:rsid w:val="49006A23"/>
    <w:rsid w:val="492A682B"/>
    <w:rsid w:val="49596A53"/>
    <w:rsid w:val="49AE2D68"/>
    <w:rsid w:val="49C3065B"/>
    <w:rsid w:val="49FE7196"/>
    <w:rsid w:val="4A3148B7"/>
    <w:rsid w:val="4A3C2091"/>
    <w:rsid w:val="4A41431D"/>
    <w:rsid w:val="4A8A325C"/>
    <w:rsid w:val="4AB84ECB"/>
    <w:rsid w:val="4ACF4B48"/>
    <w:rsid w:val="4AEB69AD"/>
    <w:rsid w:val="4AFF1D67"/>
    <w:rsid w:val="4B6D7706"/>
    <w:rsid w:val="4BA51F05"/>
    <w:rsid w:val="4BFB127C"/>
    <w:rsid w:val="4C0963DD"/>
    <w:rsid w:val="4C1623CC"/>
    <w:rsid w:val="4C240DC6"/>
    <w:rsid w:val="4C373125"/>
    <w:rsid w:val="4C990DFC"/>
    <w:rsid w:val="4CBC3A42"/>
    <w:rsid w:val="4CDC02F4"/>
    <w:rsid w:val="4CF91E5B"/>
    <w:rsid w:val="4D181700"/>
    <w:rsid w:val="4D4162EB"/>
    <w:rsid w:val="4D6B0A00"/>
    <w:rsid w:val="4D75145B"/>
    <w:rsid w:val="4D9449F9"/>
    <w:rsid w:val="4D9F002D"/>
    <w:rsid w:val="4DA85F8D"/>
    <w:rsid w:val="4DD62215"/>
    <w:rsid w:val="4E2B5D5D"/>
    <w:rsid w:val="4E8B3508"/>
    <w:rsid w:val="4ED13285"/>
    <w:rsid w:val="4EE731F6"/>
    <w:rsid w:val="4F1A6236"/>
    <w:rsid w:val="4F6A651C"/>
    <w:rsid w:val="4F721548"/>
    <w:rsid w:val="4FA73771"/>
    <w:rsid w:val="4FD4377C"/>
    <w:rsid w:val="4FFF4C5B"/>
    <w:rsid w:val="50086DF5"/>
    <w:rsid w:val="50860250"/>
    <w:rsid w:val="508E5ABD"/>
    <w:rsid w:val="50A336F5"/>
    <w:rsid w:val="50B82898"/>
    <w:rsid w:val="50BD79A6"/>
    <w:rsid w:val="510D1202"/>
    <w:rsid w:val="515D1CF8"/>
    <w:rsid w:val="515D60CA"/>
    <w:rsid w:val="51714084"/>
    <w:rsid w:val="51AA50CA"/>
    <w:rsid w:val="51D12D37"/>
    <w:rsid w:val="51E46BB8"/>
    <w:rsid w:val="521F04B3"/>
    <w:rsid w:val="52427116"/>
    <w:rsid w:val="528E639D"/>
    <w:rsid w:val="52DE0B2A"/>
    <w:rsid w:val="52E63BA6"/>
    <w:rsid w:val="52E7230E"/>
    <w:rsid w:val="53073C5C"/>
    <w:rsid w:val="53651256"/>
    <w:rsid w:val="53857348"/>
    <w:rsid w:val="53AD3C9D"/>
    <w:rsid w:val="53BC2B34"/>
    <w:rsid w:val="543A5B0D"/>
    <w:rsid w:val="54504F86"/>
    <w:rsid w:val="545F151F"/>
    <w:rsid w:val="5462681B"/>
    <w:rsid w:val="54F85DA2"/>
    <w:rsid w:val="54FF0C4E"/>
    <w:rsid w:val="55560136"/>
    <w:rsid w:val="556569E9"/>
    <w:rsid w:val="558D031D"/>
    <w:rsid w:val="558D4E43"/>
    <w:rsid w:val="55B7728F"/>
    <w:rsid w:val="55F24B54"/>
    <w:rsid w:val="56011E88"/>
    <w:rsid w:val="56115940"/>
    <w:rsid w:val="56352C58"/>
    <w:rsid w:val="563F0589"/>
    <w:rsid w:val="56416453"/>
    <w:rsid w:val="568B320E"/>
    <w:rsid w:val="568B7A5E"/>
    <w:rsid w:val="569461B3"/>
    <w:rsid w:val="56E0536B"/>
    <w:rsid w:val="57072CB9"/>
    <w:rsid w:val="57513E95"/>
    <w:rsid w:val="575E2A63"/>
    <w:rsid w:val="57672FF6"/>
    <w:rsid w:val="576C2AED"/>
    <w:rsid w:val="578A3D39"/>
    <w:rsid w:val="579170A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11EDA"/>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B61076"/>
    <w:rsid w:val="5DB96EBE"/>
    <w:rsid w:val="5DFA426F"/>
    <w:rsid w:val="5E60221A"/>
    <w:rsid w:val="5E852B06"/>
    <w:rsid w:val="5EBB0773"/>
    <w:rsid w:val="5EC9424F"/>
    <w:rsid w:val="5F3F6EB7"/>
    <w:rsid w:val="5F595787"/>
    <w:rsid w:val="5F8D1C46"/>
    <w:rsid w:val="5FBD03D0"/>
    <w:rsid w:val="5FE50B69"/>
    <w:rsid w:val="5FEA1F4F"/>
    <w:rsid w:val="601B4866"/>
    <w:rsid w:val="60303D05"/>
    <w:rsid w:val="60386110"/>
    <w:rsid w:val="606977B6"/>
    <w:rsid w:val="60B75222"/>
    <w:rsid w:val="610966E3"/>
    <w:rsid w:val="61A06ED8"/>
    <w:rsid w:val="61CC6283"/>
    <w:rsid w:val="61EB1FBB"/>
    <w:rsid w:val="620458E9"/>
    <w:rsid w:val="624422CE"/>
    <w:rsid w:val="62812C52"/>
    <w:rsid w:val="628538F9"/>
    <w:rsid w:val="6298596F"/>
    <w:rsid w:val="634E079D"/>
    <w:rsid w:val="635553E5"/>
    <w:rsid w:val="636779FE"/>
    <w:rsid w:val="63E9591E"/>
    <w:rsid w:val="640F4520"/>
    <w:rsid w:val="64300B2F"/>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14312D"/>
    <w:rsid w:val="672E0D6A"/>
    <w:rsid w:val="677F638E"/>
    <w:rsid w:val="67C1331A"/>
    <w:rsid w:val="67F973CE"/>
    <w:rsid w:val="6808097F"/>
    <w:rsid w:val="686076FC"/>
    <w:rsid w:val="68E479A1"/>
    <w:rsid w:val="68F80DE0"/>
    <w:rsid w:val="6A7C3B1B"/>
    <w:rsid w:val="6A9153AF"/>
    <w:rsid w:val="6A9A5399"/>
    <w:rsid w:val="6B3F3AAD"/>
    <w:rsid w:val="6B878FDB"/>
    <w:rsid w:val="6B891093"/>
    <w:rsid w:val="6BA55CDC"/>
    <w:rsid w:val="6BC177C6"/>
    <w:rsid w:val="6BC37DD4"/>
    <w:rsid w:val="6C021C08"/>
    <w:rsid w:val="6C0A466E"/>
    <w:rsid w:val="6C1948F8"/>
    <w:rsid w:val="6C1E3FD1"/>
    <w:rsid w:val="6C4344C6"/>
    <w:rsid w:val="6C4D680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E1D44C2"/>
    <w:rsid w:val="6E2B147B"/>
    <w:rsid w:val="6E33263A"/>
    <w:rsid w:val="6E3A4154"/>
    <w:rsid w:val="6E893371"/>
    <w:rsid w:val="6E8C71B7"/>
    <w:rsid w:val="6EA731B5"/>
    <w:rsid w:val="6EB6086C"/>
    <w:rsid w:val="6EC648DD"/>
    <w:rsid w:val="6F0C63B7"/>
    <w:rsid w:val="6F345206"/>
    <w:rsid w:val="6F941165"/>
    <w:rsid w:val="6FBC2D32"/>
    <w:rsid w:val="70007B47"/>
    <w:rsid w:val="70102EC7"/>
    <w:rsid w:val="702F1D23"/>
    <w:rsid w:val="705342C1"/>
    <w:rsid w:val="708D3892"/>
    <w:rsid w:val="70B75CF8"/>
    <w:rsid w:val="70C079DE"/>
    <w:rsid w:val="712573D2"/>
    <w:rsid w:val="7155010D"/>
    <w:rsid w:val="715C4E8A"/>
    <w:rsid w:val="717F152D"/>
    <w:rsid w:val="71D07EE4"/>
    <w:rsid w:val="720F3D8F"/>
    <w:rsid w:val="72A75458"/>
    <w:rsid w:val="72D92721"/>
    <w:rsid w:val="72FD54DB"/>
    <w:rsid w:val="73436223"/>
    <w:rsid w:val="735538BA"/>
    <w:rsid w:val="737E3FC4"/>
    <w:rsid w:val="73AC6967"/>
    <w:rsid w:val="73AE56BA"/>
    <w:rsid w:val="740941C7"/>
    <w:rsid w:val="74A24F54"/>
    <w:rsid w:val="74DA21D9"/>
    <w:rsid w:val="75250E17"/>
    <w:rsid w:val="75576C93"/>
    <w:rsid w:val="75711074"/>
    <w:rsid w:val="75893E4D"/>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AD349A"/>
    <w:rsid w:val="77CF1648"/>
    <w:rsid w:val="7817192E"/>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B3C52F1"/>
    <w:rsid w:val="7B5F7AE5"/>
    <w:rsid w:val="7B9D0472"/>
    <w:rsid w:val="7BA046F3"/>
    <w:rsid w:val="7BC37346"/>
    <w:rsid w:val="7BE71A21"/>
    <w:rsid w:val="7BF75C12"/>
    <w:rsid w:val="7BF87E00"/>
    <w:rsid w:val="7C064DA7"/>
    <w:rsid w:val="7C0A2379"/>
    <w:rsid w:val="7C551636"/>
    <w:rsid w:val="7C5F3CF1"/>
    <w:rsid w:val="7C697AB1"/>
    <w:rsid w:val="7CB460B3"/>
    <w:rsid w:val="7CD445C4"/>
    <w:rsid w:val="7CED17F8"/>
    <w:rsid w:val="7CF17B62"/>
    <w:rsid w:val="7D274421"/>
    <w:rsid w:val="7D3D452B"/>
    <w:rsid w:val="7D4B7DDD"/>
    <w:rsid w:val="7D957EE1"/>
    <w:rsid w:val="7DD07402"/>
    <w:rsid w:val="7DF163CF"/>
    <w:rsid w:val="7DFC4CA2"/>
    <w:rsid w:val="7E137B54"/>
    <w:rsid w:val="7E4E0E62"/>
    <w:rsid w:val="7E503B32"/>
    <w:rsid w:val="7E6B7B24"/>
    <w:rsid w:val="7E757D8F"/>
    <w:rsid w:val="7E782A8A"/>
    <w:rsid w:val="7EFFFA7B"/>
    <w:rsid w:val="7FC14E2C"/>
    <w:rsid w:val="893E970E"/>
    <w:rsid w:val="8BFC5892"/>
    <w:rsid w:val="9CFCEC7F"/>
    <w:rsid w:val="9F6F6015"/>
    <w:rsid w:val="BEFF223C"/>
    <w:rsid w:val="BFFFA35A"/>
    <w:rsid w:val="C7DB93C8"/>
    <w:rsid w:val="DD7E7DC7"/>
    <w:rsid w:val="DEF5E07B"/>
    <w:rsid w:val="DFC3FC34"/>
    <w:rsid w:val="DFED47ED"/>
    <w:rsid w:val="E57F3CDC"/>
    <w:rsid w:val="EFD3AB88"/>
    <w:rsid w:val="EFEEB9E2"/>
    <w:rsid w:val="F38FA4CE"/>
    <w:rsid w:val="F5DBA8FA"/>
    <w:rsid w:val="FFEF7A4B"/>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qFormat/>
    <w:uiPriority w:val="0"/>
    <w:pPr>
      <w:jc w:val="left"/>
    </w:pPr>
  </w:style>
  <w:style w:type="paragraph" w:styleId="3">
    <w:name w:val="Body Text"/>
    <w:basedOn w:val="1"/>
    <w:qFormat/>
    <w:uiPriority w:val="1"/>
    <w:rPr>
      <w:rFonts w:ascii="仿宋_GB2312" w:hAnsi="仿宋_GB2312" w:eastAsia="仿宋_GB2312" w:cs="仿宋_GB2312"/>
      <w:sz w:val="32"/>
      <w:szCs w:val="32"/>
    </w:rPr>
  </w:style>
  <w:style w:type="paragraph" w:styleId="4">
    <w:name w:val="Body Text Indent"/>
    <w:basedOn w:val="1"/>
    <w:qFormat/>
    <w:uiPriority w:val="0"/>
    <w:pPr>
      <w:ind w:left="420" w:leftChars="200"/>
    </w:pPr>
  </w:style>
  <w:style w:type="paragraph" w:styleId="5">
    <w:name w:val="Balloon Text"/>
    <w:basedOn w:val="1"/>
    <w:link w:val="18"/>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paragraph" w:styleId="9">
    <w:name w:val="annotation subject"/>
    <w:basedOn w:val="2"/>
    <w:next w:val="2"/>
    <w:link w:val="21"/>
    <w:qFormat/>
    <w:uiPriority w:val="0"/>
    <w:rPr>
      <w:b/>
      <w:bCs/>
    </w:rPr>
  </w:style>
  <w:style w:type="paragraph" w:styleId="10">
    <w:name w:val="Body Text First Indent 2"/>
    <w:basedOn w:val="4"/>
    <w:qFormat/>
    <w:uiPriority w:val="0"/>
    <w:pPr>
      <w:ind w:firstLine="420"/>
    </w:pPr>
  </w:style>
  <w:style w:type="character" w:styleId="13">
    <w:name w:val="Hyperlink"/>
    <w:basedOn w:val="12"/>
    <w:qFormat/>
    <w:uiPriority w:val="0"/>
    <w:rPr>
      <w:color w:val="0000FF"/>
      <w:u w:val="single"/>
    </w:rPr>
  </w:style>
  <w:style w:type="character" w:styleId="14">
    <w:name w:val="annotation reference"/>
    <w:basedOn w:val="12"/>
    <w:qFormat/>
    <w:uiPriority w:val="0"/>
    <w:rPr>
      <w:sz w:val="21"/>
      <w:szCs w:val="21"/>
    </w:rPr>
  </w:style>
  <w:style w:type="character" w:customStyle="1" w:styleId="15">
    <w:name w:val="页眉 字符"/>
    <w:basedOn w:val="12"/>
    <w:link w:val="7"/>
    <w:qFormat/>
    <w:uiPriority w:val="0"/>
    <w:rPr>
      <w:kern w:val="2"/>
      <w:sz w:val="18"/>
      <w:szCs w:val="18"/>
    </w:rPr>
  </w:style>
  <w:style w:type="character" w:customStyle="1" w:styleId="16">
    <w:name w:val="页脚 字符"/>
    <w:basedOn w:val="12"/>
    <w:link w:val="6"/>
    <w:qFormat/>
    <w:uiPriority w:val="0"/>
    <w:rPr>
      <w:kern w:val="2"/>
      <w:sz w:val="18"/>
      <w:szCs w:val="18"/>
    </w:rPr>
  </w:style>
  <w:style w:type="paragraph" w:customStyle="1" w:styleId="1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
    <w:name w:val="批注框文本 字符"/>
    <w:basedOn w:val="12"/>
    <w:link w:val="5"/>
    <w:qFormat/>
    <w:uiPriority w:val="0"/>
    <w:rPr>
      <w:kern w:val="2"/>
      <w:sz w:val="18"/>
      <w:szCs w:val="18"/>
    </w:rPr>
  </w:style>
  <w:style w:type="paragraph" w:customStyle="1" w:styleId="19">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20">
    <w:name w:val="批注文字 字符"/>
    <w:basedOn w:val="12"/>
    <w:link w:val="2"/>
    <w:qFormat/>
    <w:uiPriority w:val="0"/>
    <w:rPr>
      <w:kern w:val="2"/>
      <w:sz w:val="21"/>
      <w:szCs w:val="24"/>
    </w:rPr>
  </w:style>
  <w:style w:type="character" w:customStyle="1" w:styleId="21">
    <w:name w:val="批注主题 字符"/>
    <w:basedOn w:val="20"/>
    <w:link w:val="9"/>
    <w:qFormat/>
    <w:uiPriority w:val="0"/>
    <w:rPr>
      <w:b/>
      <w:bCs/>
      <w:kern w:val="2"/>
      <w:sz w:val="21"/>
      <w:szCs w:val="24"/>
    </w:rPr>
  </w:style>
  <w:style w:type="paragraph" w:customStyle="1" w:styleId="22">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23">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1317</Words>
  <Characters>1497</Characters>
  <Lines>10</Lines>
  <Paragraphs>3</Paragraphs>
  <TotalTime>37</TotalTime>
  <ScaleCrop>false</ScaleCrop>
  <LinksUpToDate>false</LinksUpToDate>
  <CharactersWithSpaces>1501</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2023-02-19T18:07:00Z</dcterms:created>
  <dc:creator>zkk</dc:creator>
  <cp:lastModifiedBy>BDA</cp:lastModifiedBy>
  <cp:lastPrinted>2025-02-10T09:37:00Z</cp:lastPrinted>
  <dcterms:modified xsi:type="dcterms:W3CDTF">2025-03-28T11:03:50Z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F18C7B3197954FDAB3B1597E83B804AD_13</vt:lpwstr>
  </property>
  <property fmtid="{D5CDD505-2E9C-101B-9397-08002B2CF9AE}" pid="4" name="KSOTemplateDocerSaveRecord">
    <vt:lpwstr>eyJoZGlkIjoiNzEzOWZhNDM0NzdkZTJhY2RkN2RlNTQ3YzZhMjg3Y2UiLCJ1c2VySWQiOiIyNDAxNjY3MjIifQ==</vt:lpwstr>
  </property>
</Properties>
</file>