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highlight w:val="none"/>
          <w:lang w:val="en-US" w:eastAsia="zh-CN"/>
        </w:rPr>
        <w:t>附件3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2024年海淀区知识产权证券化融资成本补贴专项拟支持名单</w:t>
      </w:r>
    </w:p>
    <w:tbl>
      <w:tblPr>
        <w:tblStyle w:val="3"/>
        <w:tblW w:w="7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" w:eastAsia="zh-CN" w:bidi="ar"/>
              </w:rPr>
              <w:t>1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北京和隆优化科技股份有限公司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北京迅奥科技有限公司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3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北京赛诺水务科技有限公司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4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北京思特奇信息技术股份有限公司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5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荣联科技集团股份有限公司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6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北京和信瑞通电力技术股份有限公司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7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北京芯联创展电子技术股份有限公司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8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北京大伟嘉生物技术股份有限公司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Cs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9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随锐科技集团股份有限公司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10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北京优挂信息科技有限公司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11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瑞斯康达科技发展股份有限公司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12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13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北京恒泰实达科技股份有限公司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14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纳通生物科技（北京）有限公司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15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北京北信源软件股份有限公司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16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北京云洋物联技术有限公司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17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北京锐元同联科技有限公司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18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北京华胜天成科技股份有限公司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19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北京万佳信科技有限公司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20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北京双杰电气股份有限公司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21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北京纳通科技集团有限公司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22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北京华胜天成软件技术有限公司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1"/>
                <w:szCs w:val="24"/>
              </w:rPr>
              <w:t>23</w:t>
            </w:r>
          </w:p>
        </w:tc>
        <w:tc>
          <w:tcPr>
            <w:tcW w:w="64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Cs w:val="0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北京领雁科技股份有限公司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952D1"/>
    <w:rsid w:val="6A5952D1"/>
    <w:rsid w:val="7DBF5FD0"/>
    <w:rsid w:val="7F7B3B0A"/>
    <w:rsid w:val="DDFD0DC7"/>
    <w:rsid w:val="EF3F9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2025-01-07T08:06:00Z</dcterms:created>
  <dc:creator>孟颖</dc:creator>
  <cp:lastModifiedBy>zh</cp:lastModifiedBy>
  <dcterms:modified xsi:type="dcterms:W3CDTF">2025-03-14T10:30:31Z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