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outlineLvl w:val="0"/>
        <w:rPr>
          <w:rFonts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line="660" w:lineRule="exact"/>
        <w:jc w:val="center"/>
        <w:rPr>
          <w:rFonts w:eastAsia="仿宋_GB2312" w:cs="仿宋_GB2312"/>
          <w:sz w:val="32"/>
          <w:szCs w:val="32"/>
        </w:rPr>
      </w:pPr>
      <w:r>
        <w:rPr>
          <w:rFonts w:hint="eastAsia" w:ascii="方正小标宋简体" w:hAnsi="方正小标宋简体" w:eastAsia="方正小标宋简体" w:cs="方正小标宋简体"/>
          <w:sz w:val="44"/>
          <w:szCs w:val="44"/>
        </w:rPr>
        <w:t>2024年零售、餐饮业销售额奖励</w:t>
      </w:r>
    </w:p>
    <w:p>
      <w:pPr>
        <w:spacing w:line="6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line="560" w:lineRule="exact"/>
        <w:rPr>
          <w:rFonts w:ascii="仿宋_GB2312" w:hAnsi="仿宋_GB2312" w:eastAsia="仿宋_GB2312" w:cs="仿宋_GB2312"/>
          <w:sz w:val="32"/>
          <w:szCs w:val="32"/>
        </w:rPr>
      </w:pPr>
    </w:p>
    <w:p>
      <w:pPr>
        <w:spacing w:line="558" w:lineRule="exact"/>
        <w:ind w:firstLine="640" w:firstLineChars="200"/>
        <w:jc w:val="left"/>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pStyle w:val="7"/>
        <w:spacing w:beforeAutospacing="0" w:afterAutospacing="0" w:line="558" w:lineRule="exact"/>
        <w:ind w:firstLine="48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《北京经济技术开发区促进商业领域发展的若干措施（试行）》（京技管发〔</w:t>
      </w:r>
      <w:r>
        <w:rPr>
          <w:rFonts w:ascii="仿宋_GB2312" w:hAnsi="仿宋_GB2312" w:eastAsia="仿宋_GB2312" w:cs="仿宋_GB2312"/>
          <w:sz w:val="32"/>
          <w:szCs w:val="32"/>
        </w:rPr>
        <w:t>2023〕17号</w:t>
      </w:r>
      <w:r>
        <w:rPr>
          <w:rFonts w:hint="eastAsia" w:ascii="仿宋_GB2312" w:hAnsi="仿宋_GB2312" w:eastAsia="仿宋_GB2312" w:cs="仿宋_GB2312"/>
          <w:sz w:val="32"/>
          <w:szCs w:val="32"/>
        </w:rPr>
        <w:t>）中第九条“销售额奖励”。</w:t>
      </w:r>
    </w:p>
    <w:p>
      <w:pPr>
        <w:pStyle w:val="7"/>
        <w:spacing w:beforeAutospacing="0" w:afterAutospacing="0" w:line="558"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二、申报事项</w:t>
      </w:r>
    </w:p>
    <w:p>
      <w:pPr>
        <w:spacing w:line="558" w:lineRule="exact"/>
        <w:ind w:firstLine="640" w:firstLineChars="200"/>
        <w:jc w:val="left"/>
        <w:rPr>
          <w:rFonts w:eastAsia="仿宋_GB2312" w:cs="仿宋_GB2312"/>
          <w:sz w:val="32"/>
          <w:szCs w:val="32"/>
        </w:rPr>
      </w:pPr>
      <w:r>
        <w:rPr>
          <w:rFonts w:hint="eastAsia" w:ascii="仿宋_GB2312" w:hAnsi="仿宋_GB2312" w:eastAsia="仿宋_GB2312" w:cs="仿宋_GB2312"/>
          <w:sz w:val="32"/>
          <w:szCs w:val="32"/>
        </w:rPr>
        <w:t>2024</w:t>
      </w:r>
      <w:r>
        <w:rPr>
          <w:rFonts w:hint="eastAsia" w:eastAsia="仿宋_GB2312" w:cs="仿宋_GB2312"/>
          <w:sz w:val="32"/>
          <w:szCs w:val="32"/>
        </w:rPr>
        <w:t>年零售、餐饮业销售额奖励</w:t>
      </w:r>
    </w:p>
    <w:p>
      <w:pPr>
        <w:spacing w:line="558" w:lineRule="exact"/>
        <w:ind w:firstLine="640" w:firstLineChars="20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bookmarkStart w:id="0" w:name="_GoBack"/>
      <w:bookmarkEnd w:id="0"/>
    </w:p>
    <w:p>
      <w:pPr>
        <w:numPr>
          <w:ilvl w:val="0"/>
          <w:numId w:val="1"/>
        </w:num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零售和餐饮企业（统计代码52和62开头）。</w:t>
      </w:r>
    </w:p>
    <w:p>
      <w:pPr>
        <w:numPr>
          <w:ilvl w:val="0"/>
          <w:numId w:val="1"/>
        </w:num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2024年全年（1-12月）零售业销售额达到</w:t>
      </w:r>
      <w:r>
        <w:rPr>
          <w:rFonts w:ascii="仿宋_GB2312" w:hAnsi="仿宋_GB2312" w:eastAsia="仿宋_GB2312" w:cs="仿宋_GB2312"/>
          <w:sz w:val="32"/>
          <w:szCs w:val="32"/>
        </w:rPr>
        <w:t>5000万元（含）以上、餐饮业营业额达到3000万元（含）以上</w:t>
      </w:r>
      <w:r>
        <w:rPr>
          <w:rFonts w:hint="eastAsia" w:ascii="仿宋_GB2312" w:hAnsi="仿宋_GB2312" w:eastAsia="仿宋_GB2312" w:cs="仿宋_GB2312"/>
          <w:sz w:val="32"/>
          <w:szCs w:val="32"/>
        </w:rPr>
        <w:t>。</w:t>
      </w:r>
    </w:p>
    <w:p>
      <w:pPr>
        <w:numPr>
          <w:ilvl w:val="0"/>
          <w:numId w:val="1"/>
        </w:num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亦庄新城225平方公里范围内依法经营。</w:t>
      </w:r>
    </w:p>
    <w:p>
      <w:pPr>
        <w:numPr>
          <w:ilvl w:val="255"/>
          <w:numId w:val="0"/>
        </w:numPr>
        <w:spacing w:line="558"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（四）近三年（2022年1月1日至2024年12月31日）无重大行政处罚及刑事犯罪记录、未列入严重违法失信主体名单的批发和零售业企业。</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四、支持内容及标准</w:t>
      </w:r>
    </w:p>
    <w:p>
      <w:pPr>
        <w:widowControl/>
        <w:spacing w:line="558"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（一）在经开区经营的零售业、餐饮业企业，零售业2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4年销售额首次达到</w:t>
      </w:r>
      <w:r>
        <w:rPr>
          <w:rFonts w:ascii="仿宋_GB2312" w:hAnsi="仿宋_GB2312" w:eastAsia="仿宋_GB2312" w:cs="仿宋_GB2312"/>
          <w:sz w:val="32"/>
          <w:szCs w:val="32"/>
        </w:rPr>
        <w:t>5000万元（含）以上、餐饮业</w:t>
      </w:r>
      <w:r>
        <w:rPr>
          <w:rFonts w:hint="eastAsia" w:ascii="仿宋_GB2312" w:hAnsi="仿宋_GB2312" w:eastAsia="仿宋_GB2312" w:cs="仿宋_GB2312"/>
          <w:sz w:val="32"/>
          <w:szCs w:val="32"/>
        </w:rPr>
        <w:t>2024</w:t>
      </w:r>
      <w:r>
        <w:rPr>
          <w:rFonts w:ascii="仿宋_GB2312" w:hAnsi="仿宋_GB2312" w:eastAsia="仿宋_GB2312" w:cs="仿宋_GB2312"/>
          <w:sz w:val="32"/>
          <w:szCs w:val="32"/>
        </w:rPr>
        <w:t>年营业额首次达到3000万元（含）以上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按照其</w:t>
      </w:r>
      <w:r>
        <w:rPr>
          <w:rFonts w:hint="eastAsia" w:ascii="仿宋_GB2312" w:hAnsi="仿宋_GB2312" w:eastAsia="仿宋_GB2312" w:cs="仿宋_GB2312"/>
          <w:sz w:val="32"/>
          <w:szCs w:val="32"/>
        </w:rPr>
        <w:t>2024</w:t>
      </w:r>
      <w:r>
        <w:rPr>
          <w:rFonts w:ascii="仿宋_GB2312" w:hAnsi="仿宋_GB2312" w:eastAsia="仿宋_GB2312" w:cs="仿宋_GB2312"/>
          <w:sz w:val="32"/>
          <w:szCs w:val="32"/>
        </w:rPr>
        <w:t>年销售额（营业额）的1％给予奖励，最高支持200万元。</w:t>
      </w:r>
    </w:p>
    <w:p>
      <w:pPr>
        <w:widowControl/>
        <w:spacing w:line="558"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（二）同一零售业企业在兑现全年支持资金时，需扣除已获得2024年一季度销售额增长支持资金部分。</w:t>
      </w:r>
    </w:p>
    <w:p>
      <w:pPr>
        <w:widowControl/>
        <w:spacing w:line="558"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（三）本次奖励与经开区《关于巩固和增强经济回升向好态势的若干措施》中2024年全年批零增量奖励从优不重复享受，企业自主选择申报。</w:t>
      </w:r>
    </w:p>
    <w:p>
      <w:pPr>
        <w:spacing w:line="558"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58"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2024年</w:t>
      </w:r>
      <w:r>
        <w:rPr>
          <w:rFonts w:hint="eastAsia" w:eastAsia="仿宋_GB2312" w:cs="仿宋_GB2312"/>
          <w:sz w:val="32"/>
          <w:szCs w:val="32"/>
        </w:rPr>
        <w:t>零售、餐饮业销售额奖励</w:t>
      </w:r>
      <w:r>
        <w:rPr>
          <w:rFonts w:ascii="仿宋_GB2312" w:hAnsi="仿宋_GB2312" w:eastAsia="仿宋_GB2312" w:cs="仿宋_GB2312"/>
          <w:sz w:val="32"/>
          <w:szCs w:val="32"/>
        </w:rPr>
        <w:t>申报表</w:t>
      </w:r>
      <w:r>
        <w:rPr>
          <w:rFonts w:hint="eastAsia" w:ascii="仿宋_GB2312" w:hAnsi="仿宋_GB2312" w:eastAsia="仿宋_GB2312" w:cs="仿宋_GB2312"/>
          <w:sz w:val="32"/>
          <w:szCs w:val="32"/>
        </w:rPr>
        <w:t>，在线填写；</w:t>
      </w:r>
    </w:p>
    <w:p>
      <w:pPr>
        <w:spacing w:line="558"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2.企业营业执照</w:t>
      </w:r>
      <w:r>
        <w:rPr>
          <w:rFonts w:hint="eastAsia" w:ascii="仿宋_GB2312" w:hAnsi="仿宋_GB2312" w:eastAsia="仿宋_GB2312" w:cs="仿宋_GB2312"/>
          <w:sz w:val="32"/>
          <w:szCs w:val="32"/>
        </w:rPr>
        <w:t>，选取电子证照；</w:t>
      </w:r>
    </w:p>
    <w:p>
      <w:pPr>
        <w:spacing w:line="558" w:lineRule="exact"/>
        <w:ind w:firstLine="640" w:firstLineChars="200"/>
        <w:jc w:val="left"/>
        <w:outlineLvl w:val="2"/>
        <w:rPr>
          <w:rFonts w:ascii="仿宋_GB2312" w:hAnsi="仿宋_GB2312" w:eastAsia="仿宋_GB2312" w:cs="仿宋_GB2312"/>
          <w:sz w:val="32"/>
          <w:szCs w:val="32"/>
        </w:rPr>
      </w:pPr>
      <w:r>
        <w:rPr>
          <w:rFonts w:ascii="仿宋_GB2312" w:hAnsi="仿宋_GB2312" w:eastAsia="仿宋_GB2312" w:cs="仿宋_GB2312"/>
          <w:sz w:val="32"/>
          <w:szCs w:val="32"/>
        </w:rPr>
        <w:t>3.承诺书</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58" w:lineRule="exact"/>
        <w:ind w:firstLine="640" w:firstLineChars="200"/>
        <w:jc w:val="left"/>
        <w:outlineLvl w:val="2"/>
        <w:rPr>
          <w:rFonts w:ascii="仿宋_GB2312" w:hAnsi="仿宋_GB2312" w:eastAsia="仿宋_GB2312" w:cs="仿宋_GB2312"/>
          <w:spacing w:val="6"/>
          <w:sz w:val="32"/>
          <w:szCs w:val="32"/>
        </w:rPr>
      </w:pPr>
      <w:r>
        <w:rPr>
          <w:rFonts w:ascii="仿宋_GB2312" w:hAnsi="仿宋_GB2312" w:eastAsia="仿宋_GB2312" w:cs="仿宋_GB2312"/>
          <w:sz w:val="32"/>
          <w:szCs w:val="32"/>
        </w:rPr>
        <w:t>4.银行账户信息</w:t>
      </w:r>
      <w:r>
        <w:rPr>
          <w:rFonts w:hint="eastAsia" w:ascii="仿宋_GB2312" w:hAnsi="仿宋_GB2312" w:eastAsia="仿宋_GB2312" w:cs="仿宋_GB2312"/>
          <w:sz w:val="32"/>
          <w:szCs w:val="32"/>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58" w:lineRule="exact"/>
        <w:ind w:firstLine="640" w:firstLineChars="200"/>
        <w:jc w:val="left"/>
        <w:outlineLvl w:val="2"/>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申报主体2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4年度的财务报表</w:t>
      </w:r>
      <w:r>
        <w:rPr>
          <w:rFonts w:ascii="仿宋_GB2312" w:hAnsi="仿宋_GB2312" w:eastAsia="仿宋_GB2312" w:cs="仿宋_GB2312"/>
          <w:sz w:val="32"/>
          <w:szCs w:val="32"/>
        </w:rPr>
        <w:t>（资产负债表、损益表、现金流量表）</w:t>
      </w:r>
      <w:r>
        <w:rPr>
          <w:rFonts w:hint="eastAsia" w:ascii="仿宋_GB2312" w:hAnsi="仿宋_GB2312" w:eastAsia="仿宋_GB2312" w:cs="仿宋_GB2312"/>
          <w:sz w:val="32"/>
          <w:szCs w:val="32"/>
        </w:rPr>
        <w:t>，加盖公章，彩色扫描上传；</w:t>
      </w:r>
    </w:p>
    <w:p>
      <w:pPr>
        <w:spacing w:line="558" w:lineRule="exact"/>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6.零售业企业需提供2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4年度的《批发和零售业商品销售和库存》表（E</w:t>
      </w:r>
      <w:r>
        <w:rPr>
          <w:rFonts w:ascii="仿宋_GB2312" w:hAnsi="仿宋_GB2312" w:eastAsia="仿宋_GB2312" w:cs="仿宋_GB2312"/>
          <w:sz w:val="32"/>
          <w:szCs w:val="32"/>
        </w:rPr>
        <w:t>204-1</w:t>
      </w:r>
      <w:r>
        <w:rPr>
          <w:rFonts w:hint="eastAsia" w:ascii="仿宋_GB2312" w:hAnsi="仿宋_GB2312" w:eastAsia="仿宋_GB2312" w:cs="仿宋_GB2312"/>
          <w:sz w:val="32"/>
          <w:szCs w:val="32"/>
        </w:rPr>
        <w:t>表），餐饮业企业需提供2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4年度的《住宿和餐饮业经营情况》表（S</w:t>
      </w:r>
      <w:r>
        <w:rPr>
          <w:rFonts w:ascii="仿宋_GB2312" w:hAnsi="仿宋_GB2312" w:eastAsia="仿宋_GB2312" w:cs="仿宋_GB2312"/>
          <w:sz w:val="32"/>
          <w:szCs w:val="32"/>
        </w:rPr>
        <w:t>204-1</w:t>
      </w:r>
      <w:r>
        <w:rPr>
          <w:rFonts w:hint="eastAsia" w:ascii="仿宋_GB2312" w:hAnsi="仿宋_GB2312" w:eastAsia="仿宋_GB2312" w:cs="仿宋_GB2312"/>
          <w:sz w:val="32"/>
          <w:szCs w:val="32"/>
        </w:rPr>
        <w:t>表），加盖公章，彩色扫描上传；</w:t>
      </w:r>
    </w:p>
    <w:p>
      <w:pPr>
        <w:spacing w:line="558" w:lineRule="exact"/>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若企业为已经在经开区经营的分公司变子公司的零售业、餐饮业企业，需提供分公司变子公司的证明材料，如变更前后所属企业同意变更的协议，变更后隶属企业的营业执照复印件等可证明企业变更的文件，加盖公章，彩色扫描上传。</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55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w:t>
      </w:r>
      <w:r>
        <w:rPr>
          <w:rFonts w:hint="eastAsia" w:ascii="仿宋_GB2312" w:hAnsi="仿宋_GB2312" w:eastAsia="仿宋_GB2312" w:cs="仿宋_GB2312"/>
          <w:sz w:val="32"/>
          <w:szCs w:val="32"/>
          <w:lang w:eastAsia="zh-CN"/>
        </w:rPr>
        <w:t>栏目</w:t>
      </w:r>
      <w:r>
        <w:rPr>
          <w:rFonts w:hint="eastAsia" w:ascii="仿宋_GB2312" w:hAnsi="仿宋_GB2312" w:eastAsia="仿宋_GB2312" w:cs="仿宋_GB2312"/>
          <w:sz w:val="32"/>
          <w:szCs w:val="32"/>
        </w:rPr>
        <w:t>（zcdx.kfqgw.beijing.gov.cn）进入政策兑现综合服务平台，注册登录后进行项目申报。</w:t>
      </w:r>
      <w:r>
        <w:rPr>
          <w:rFonts w:hint="eastAsia" w:ascii="仿宋_GB2312" w:hAnsi="仿宋_GB2312" w:eastAsia="仿宋_GB2312" w:cs="仿宋_GB2312"/>
          <w:color w:val="000000"/>
          <w:sz w:val="32"/>
          <w:szCs w:val="32"/>
        </w:rPr>
        <w:t>如未在规定时间内提交申请的，视为自动放弃。</w:t>
      </w:r>
    </w:p>
    <w:p>
      <w:pPr>
        <w:pStyle w:val="7"/>
        <w:widowControl/>
        <w:numPr>
          <w:ilvl w:val="255"/>
          <w:numId w:val="0"/>
        </w:numPr>
        <w:shd w:val="clear" w:color="auto" w:fill="FFFFFF"/>
        <w:spacing w:beforeAutospacing="0" w:afterAutospacing="0" w:line="558"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7"/>
        <w:widowControl/>
        <w:shd w:val="clear" w:color="auto" w:fill="FFFFFF"/>
        <w:spacing w:beforeAutospacing="0" w:afterAutospacing="0" w:line="558"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Autospacing="0" w:line="558"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7"/>
        <w:widowControl/>
        <w:shd w:val="clear" w:color="auto" w:fill="FFFFFF"/>
        <w:spacing w:beforeAutospacing="0" w:afterAutospacing="0" w:line="558"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spacing w:line="558" w:lineRule="exact"/>
        <w:ind w:firstLine="640" w:firstLineChars="200"/>
        <w:jc w:val="left"/>
        <w:outlineLvl w:val="0"/>
        <w:rPr>
          <w:rFonts w:ascii="黑体" w:hAnsi="黑体" w:eastAsia="黑体" w:cs="黑体"/>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b/>
          <w:bCs/>
          <w:color w:val="000000"/>
          <w:sz w:val="32"/>
          <w:szCs w:val="32"/>
        </w:rPr>
        <w:t>资金拨付</w:t>
      </w:r>
      <w:r>
        <w:rPr>
          <w:rFonts w:hint="eastAsia" w:ascii="仿宋_GB2312" w:hAnsi="仿宋_GB2312" w:eastAsia="仿宋_GB2312" w:cs="仿宋_GB2312"/>
          <w:color w:val="000000"/>
          <w:sz w:val="32"/>
          <w:szCs w:val="32"/>
        </w:rPr>
        <w:t>：经公示无异议的，经开区综合服务保障中心完成资金拨付工作。</w:t>
      </w:r>
    </w:p>
    <w:p>
      <w:pPr>
        <w:spacing w:line="558"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七、主责部门</w:t>
      </w:r>
    </w:p>
    <w:p>
      <w:pPr>
        <w:spacing w:line="558" w:lineRule="exact"/>
        <w:ind w:firstLine="640" w:firstLineChars="200"/>
        <w:jc w:val="left"/>
        <w:rPr>
          <w:rFonts w:ascii="仿宋_GB2312" w:hAnsi="仿宋_GB2312" w:eastAsia="仿宋_GB2312" w:cs="仿宋_GB2312"/>
          <w:b/>
          <w:bCs/>
          <w:sz w:val="32"/>
          <w:szCs w:val="32"/>
        </w:rPr>
      </w:pPr>
      <w:r>
        <w:rPr>
          <w:rFonts w:hint="eastAsia" w:eastAsia="仿宋_GB2312" w:cs="仿宋_GB2312"/>
          <w:sz w:val="32"/>
          <w:szCs w:val="32"/>
        </w:rPr>
        <w:t>经开区商务金融局</w:t>
      </w:r>
    </w:p>
    <w:p>
      <w:pPr>
        <w:spacing w:line="558"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八、受理窗口</w:t>
      </w:r>
    </w:p>
    <w:p>
      <w:pPr>
        <w:spacing w:line="558"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58"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九、申报时间</w:t>
      </w:r>
    </w:p>
    <w:p>
      <w:pPr>
        <w:spacing w:line="558" w:lineRule="exact"/>
        <w:ind w:firstLine="640" w:firstLineChars="20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rPr>
        <w:t>3月17日至</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ascii="仿宋_GB2312" w:hAnsi="仿宋_GB2312" w:eastAsia="仿宋_GB2312" w:cs="仿宋_GB2312"/>
          <w:sz w:val="32"/>
          <w:szCs w:val="32"/>
          <w:highlight w:val="none"/>
        </w:rPr>
        <w:t>年3月</w:t>
      </w:r>
      <w:r>
        <w:rPr>
          <w:rFonts w:hint="eastAsia" w:ascii="仿宋_GB2312" w:hAnsi="仿宋_GB2312" w:eastAsia="仿宋_GB2312" w:cs="仿宋_GB2312"/>
          <w:sz w:val="32"/>
          <w:szCs w:val="32"/>
          <w:highlight w:val="none"/>
        </w:rPr>
        <w:t>31</w:t>
      </w:r>
      <w:r>
        <w:rPr>
          <w:rFonts w:ascii="仿宋_GB2312" w:hAnsi="仿宋_GB2312" w:eastAsia="仿宋_GB2312" w:cs="仿宋_GB2312"/>
          <w:sz w:val="32"/>
          <w:szCs w:val="32"/>
          <w:highlight w:val="none"/>
        </w:rPr>
        <w:t>日</w:t>
      </w:r>
    </w:p>
    <w:p>
      <w:pPr>
        <w:spacing w:line="558"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558" w:lineRule="exact"/>
        <w:ind w:firstLine="640" w:firstLineChars="200"/>
        <w:jc w:val="left"/>
        <w:rPr>
          <w:rFonts w:eastAsia="仿宋_GB2312"/>
          <w:sz w:val="32"/>
          <w:szCs w:val="32"/>
        </w:rPr>
      </w:pPr>
      <w:r>
        <w:rPr>
          <w:rFonts w:hint="eastAsia" w:eastAsia="仿宋_GB2312"/>
          <w:sz w:val="32"/>
          <w:szCs w:val="32"/>
        </w:rPr>
        <w:t>政策咨询：</w:t>
      </w:r>
    </w:p>
    <w:p>
      <w:pPr>
        <w:spacing w:line="558"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58" w:lineRule="exact"/>
        <w:ind w:firstLine="640" w:firstLineChars="200"/>
        <w:jc w:val="left"/>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区商务金融局，联系电话：010-67881472，工作日上午9:00—12:00，下午2:00—6:00。</w:t>
      </w:r>
    </w:p>
    <w:p>
      <w:pPr>
        <w:spacing w:line="558" w:lineRule="exact"/>
        <w:ind w:firstLine="640" w:firstLineChars="200"/>
        <w:jc w:val="left"/>
        <w:rPr>
          <w:rFonts w:eastAsia="仿宋_GB2312"/>
          <w:sz w:val="32"/>
          <w:szCs w:val="32"/>
        </w:rPr>
      </w:pPr>
      <w:r>
        <w:rPr>
          <w:rFonts w:hint="eastAsia" w:eastAsia="仿宋_GB2312"/>
          <w:sz w:val="32"/>
          <w:szCs w:val="32"/>
        </w:rPr>
        <w:t>技术支持：</w:t>
      </w:r>
    </w:p>
    <w:p>
      <w:pPr>
        <w:spacing w:line="558" w:lineRule="exact"/>
        <w:ind w:firstLine="640" w:firstLineChars="200"/>
        <w:jc w:val="left"/>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58" w:lineRule="exact"/>
        <w:ind w:firstLine="640" w:firstLineChars="200"/>
        <w:jc w:val="left"/>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58"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DF3D"/>
    <w:multiLevelType w:val="singleLevel"/>
    <w:tmpl w:val="7DECD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048F1"/>
    <w:rsid w:val="0001192B"/>
    <w:rsid w:val="0003614B"/>
    <w:rsid w:val="00053174"/>
    <w:rsid w:val="0005568F"/>
    <w:rsid w:val="00060052"/>
    <w:rsid w:val="00062C5F"/>
    <w:rsid w:val="000744A8"/>
    <w:rsid w:val="00076074"/>
    <w:rsid w:val="000A6F8B"/>
    <w:rsid w:val="000C1A14"/>
    <w:rsid w:val="000F62F2"/>
    <w:rsid w:val="001145E7"/>
    <w:rsid w:val="0013361E"/>
    <w:rsid w:val="00161422"/>
    <w:rsid w:val="00161CCE"/>
    <w:rsid w:val="0018450D"/>
    <w:rsid w:val="001E21BF"/>
    <w:rsid w:val="002734E0"/>
    <w:rsid w:val="002838D9"/>
    <w:rsid w:val="002A40C6"/>
    <w:rsid w:val="002B14DE"/>
    <w:rsid w:val="002B353F"/>
    <w:rsid w:val="002D3BAB"/>
    <w:rsid w:val="002E52EF"/>
    <w:rsid w:val="002F0F4F"/>
    <w:rsid w:val="002F2B88"/>
    <w:rsid w:val="00307F14"/>
    <w:rsid w:val="00322304"/>
    <w:rsid w:val="00360EF1"/>
    <w:rsid w:val="00362104"/>
    <w:rsid w:val="00383AB3"/>
    <w:rsid w:val="00395968"/>
    <w:rsid w:val="003D6DE3"/>
    <w:rsid w:val="00400078"/>
    <w:rsid w:val="00406832"/>
    <w:rsid w:val="004175A7"/>
    <w:rsid w:val="00420B26"/>
    <w:rsid w:val="00457B4D"/>
    <w:rsid w:val="004E2975"/>
    <w:rsid w:val="00530242"/>
    <w:rsid w:val="005476C4"/>
    <w:rsid w:val="005865A9"/>
    <w:rsid w:val="005A2A8D"/>
    <w:rsid w:val="006621F5"/>
    <w:rsid w:val="006A1513"/>
    <w:rsid w:val="006B65E0"/>
    <w:rsid w:val="006C2F26"/>
    <w:rsid w:val="006D0140"/>
    <w:rsid w:val="006D68C7"/>
    <w:rsid w:val="006E0F4F"/>
    <w:rsid w:val="00710378"/>
    <w:rsid w:val="007842CF"/>
    <w:rsid w:val="007E272A"/>
    <w:rsid w:val="007E3A31"/>
    <w:rsid w:val="007F1F5D"/>
    <w:rsid w:val="00817A0E"/>
    <w:rsid w:val="00824EB4"/>
    <w:rsid w:val="00844BDB"/>
    <w:rsid w:val="008670BF"/>
    <w:rsid w:val="008B7B68"/>
    <w:rsid w:val="008F5AA9"/>
    <w:rsid w:val="00900A14"/>
    <w:rsid w:val="00905C47"/>
    <w:rsid w:val="00906C00"/>
    <w:rsid w:val="00915480"/>
    <w:rsid w:val="00923A77"/>
    <w:rsid w:val="00936C57"/>
    <w:rsid w:val="009801C8"/>
    <w:rsid w:val="0098077A"/>
    <w:rsid w:val="009E34E0"/>
    <w:rsid w:val="00A060B2"/>
    <w:rsid w:val="00A0701C"/>
    <w:rsid w:val="00A262FC"/>
    <w:rsid w:val="00A3406B"/>
    <w:rsid w:val="00A37BA6"/>
    <w:rsid w:val="00A76D0B"/>
    <w:rsid w:val="00A934FA"/>
    <w:rsid w:val="00AA7442"/>
    <w:rsid w:val="00AB6858"/>
    <w:rsid w:val="00B00D6A"/>
    <w:rsid w:val="00B24066"/>
    <w:rsid w:val="00B33830"/>
    <w:rsid w:val="00B62571"/>
    <w:rsid w:val="00B74D80"/>
    <w:rsid w:val="00BC21C5"/>
    <w:rsid w:val="00BC5B32"/>
    <w:rsid w:val="00BE7C82"/>
    <w:rsid w:val="00C01B2A"/>
    <w:rsid w:val="00C07EA6"/>
    <w:rsid w:val="00C122AB"/>
    <w:rsid w:val="00C16BF9"/>
    <w:rsid w:val="00C4323D"/>
    <w:rsid w:val="00CA5284"/>
    <w:rsid w:val="00CC6E63"/>
    <w:rsid w:val="00D460B2"/>
    <w:rsid w:val="00D668C9"/>
    <w:rsid w:val="00D71402"/>
    <w:rsid w:val="00D76185"/>
    <w:rsid w:val="00D81A29"/>
    <w:rsid w:val="00D85A9F"/>
    <w:rsid w:val="00DE0E66"/>
    <w:rsid w:val="00E00347"/>
    <w:rsid w:val="00E11E5D"/>
    <w:rsid w:val="00E3081B"/>
    <w:rsid w:val="00E65AE8"/>
    <w:rsid w:val="00E76C00"/>
    <w:rsid w:val="00EA199B"/>
    <w:rsid w:val="00EA6B51"/>
    <w:rsid w:val="00ED1275"/>
    <w:rsid w:val="00EF523D"/>
    <w:rsid w:val="00F46E1E"/>
    <w:rsid w:val="00F60BB5"/>
    <w:rsid w:val="00F93706"/>
    <w:rsid w:val="00FB5246"/>
    <w:rsid w:val="00FF5D04"/>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753F70"/>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6D5887"/>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CFE07C0"/>
    <w:rsid w:val="1D075252"/>
    <w:rsid w:val="1D451EB0"/>
    <w:rsid w:val="1D615728"/>
    <w:rsid w:val="1D761D5A"/>
    <w:rsid w:val="1E3278A5"/>
    <w:rsid w:val="1E447CA3"/>
    <w:rsid w:val="1E4E99B2"/>
    <w:rsid w:val="1EB8CAD3"/>
    <w:rsid w:val="1ED331FC"/>
    <w:rsid w:val="1ED6487D"/>
    <w:rsid w:val="1EF9BEF2"/>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DCC041A"/>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82975"/>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2540C"/>
    <w:rsid w:val="37C93788"/>
    <w:rsid w:val="37EF6300"/>
    <w:rsid w:val="37FD7B6F"/>
    <w:rsid w:val="380942B0"/>
    <w:rsid w:val="382D54B8"/>
    <w:rsid w:val="38363290"/>
    <w:rsid w:val="383A3742"/>
    <w:rsid w:val="38732C18"/>
    <w:rsid w:val="387A66CC"/>
    <w:rsid w:val="38921ED5"/>
    <w:rsid w:val="38C22A0D"/>
    <w:rsid w:val="39122B90"/>
    <w:rsid w:val="393063E5"/>
    <w:rsid w:val="393E388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6FDAB3"/>
    <w:rsid w:val="3FBC30E1"/>
    <w:rsid w:val="3FD009E6"/>
    <w:rsid w:val="3FD4707F"/>
    <w:rsid w:val="3FFD57FE"/>
    <w:rsid w:val="3FFF68BD"/>
    <w:rsid w:val="40945F74"/>
    <w:rsid w:val="409D6C96"/>
    <w:rsid w:val="40A50B34"/>
    <w:rsid w:val="40C0750A"/>
    <w:rsid w:val="40F90081"/>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5FEB973"/>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150B0"/>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721548"/>
    <w:rsid w:val="4F8C497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F7FDC0"/>
    <w:rsid w:val="57072CB9"/>
    <w:rsid w:val="573F065E"/>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D8205E"/>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04489"/>
    <w:rsid w:val="5F595787"/>
    <w:rsid w:val="5F8D1C46"/>
    <w:rsid w:val="5FBD03D0"/>
    <w:rsid w:val="5FBFDE2C"/>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E5E045"/>
    <w:rsid w:val="67F973CE"/>
    <w:rsid w:val="6808097F"/>
    <w:rsid w:val="683E002D"/>
    <w:rsid w:val="686076FC"/>
    <w:rsid w:val="68E479A1"/>
    <w:rsid w:val="6A6DD357"/>
    <w:rsid w:val="6A7C3B1B"/>
    <w:rsid w:val="6A9153AF"/>
    <w:rsid w:val="6A9A5399"/>
    <w:rsid w:val="6B3F3AAD"/>
    <w:rsid w:val="6B891093"/>
    <w:rsid w:val="6BA55CDC"/>
    <w:rsid w:val="6BC177C6"/>
    <w:rsid w:val="6BC37DD4"/>
    <w:rsid w:val="6C021C08"/>
    <w:rsid w:val="6C0A466E"/>
    <w:rsid w:val="6C171299"/>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3AE92C3"/>
    <w:rsid w:val="740941C7"/>
    <w:rsid w:val="741D0FB9"/>
    <w:rsid w:val="74A24F54"/>
    <w:rsid w:val="74DA21D9"/>
    <w:rsid w:val="74DD1E0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E6260"/>
    <w:rsid w:val="77DF7CC0"/>
    <w:rsid w:val="77F3F04D"/>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1EBF"/>
    <w:rsid w:val="7D957EE1"/>
    <w:rsid w:val="7DFC4CA2"/>
    <w:rsid w:val="7E137B54"/>
    <w:rsid w:val="7E4E0E62"/>
    <w:rsid w:val="7E503B32"/>
    <w:rsid w:val="7E5FE6A1"/>
    <w:rsid w:val="7E6B7B24"/>
    <w:rsid w:val="7E757D8F"/>
    <w:rsid w:val="7E782A8A"/>
    <w:rsid w:val="7EB71892"/>
    <w:rsid w:val="7EEEA71F"/>
    <w:rsid w:val="7EFFFA7B"/>
    <w:rsid w:val="7FBB09E5"/>
    <w:rsid w:val="7FC14E2C"/>
    <w:rsid w:val="7FCB7137"/>
    <w:rsid w:val="7FDF69B9"/>
    <w:rsid w:val="7FDF7032"/>
    <w:rsid w:val="7FFF1DC1"/>
    <w:rsid w:val="95E36116"/>
    <w:rsid w:val="9F6F6015"/>
    <w:rsid w:val="AFFB5DE8"/>
    <w:rsid w:val="BDFB6234"/>
    <w:rsid w:val="BFF956C4"/>
    <w:rsid w:val="C7DB93C8"/>
    <w:rsid w:val="C7DD8582"/>
    <w:rsid w:val="DBB4327B"/>
    <w:rsid w:val="DD7E7DC7"/>
    <w:rsid w:val="DEF5E07B"/>
    <w:rsid w:val="DFEF9E84"/>
    <w:rsid w:val="E67F24D6"/>
    <w:rsid w:val="ED3C796E"/>
    <w:rsid w:val="ED5F5855"/>
    <w:rsid w:val="EFEEB9E2"/>
    <w:rsid w:val="F13F46D8"/>
    <w:rsid w:val="F1FF1060"/>
    <w:rsid w:val="F5DBA8FA"/>
    <w:rsid w:val="F5FCB03C"/>
    <w:rsid w:val="F5FFAFBF"/>
    <w:rsid w:val="F7FC7181"/>
    <w:rsid w:val="FB3F269F"/>
    <w:rsid w:val="FB9796DF"/>
    <w:rsid w:val="FD3D88FC"/>
    <w:rsid w:val="FD7B064F"/>
    <w:rsid w:val="FD9FE185"/>
    <w:rsid w:val="FDDF4020"/>
    <w:rsid w:val="FEFA1B58"/>
    <w:rsid w:val="FF690BDA"/>
    <w:rsid w:val="FFB392F8"/>
    <w:rsid w:val="FFBDB00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annotation subject"/>
    <w:basedOn w:val="2"/>
    <w:next w:val="2"/>
    <w:link w:val="19"/>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 w:type="paragraph" w:customStyle="1" w:styleId="1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6">
    <w:name w:val="批注框文本 Char"/>
    <w:basedOn w:val="10"/>
    <w:link w:val="4"/>
    <w:qFormat/>
    <w:uiPriority w:val="0"/>
    <w:rPr>
      <w:kern w:val="2"/>
      <w:sz w:val="18"/>
      <w:szCs w:val="18"/>
    </w:rPr>
  </w:style>
  <w:style w:type="paragraph" w:customStyle="1" w:styleId="1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批注文字 Char"/>
    <w:basedOn w:val="10"/>
    <w:link w:val="2"/>
    <w:qFormat/>
    <w:uiPriority w:val="0"/>
    <w:rPr>
      <w:kern w:val="2"/>
      <w:sz w:val="21"/>
      <w:szCs w:val="24"/>
    </w:rPr>
  </w:style>
  <w:style w:type="character" w:customStyle="1" w:styleId="19">
    <w:name w:val="批注主题 Char"/>
    <w:basedOn w:val="18"/>
    <w:link w:val="8"/>
    <w:qFormat/>
    <w:uiPriority w:val="0"/>
    <w:rPr>
      <w:b/>
      <w:bCs/>
      <w:kern w:val="2"/>
      <w:sz w:val="21"/>
      <w:szCs w:val="24"/>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1264</Words>
  <Characters>249</Characters>
  <Lines>2</Lines>
  <Paragraphs>3</Paragraphs>
  <TotalTime>13</TotalTime>
  <ScaleCrop>false</ScaleCrop>
  <LinksUpToDate>false</LinksUpToDate>
  <CharactersWithSpaces>1510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2019-08-17T22:54:00Z</dcterms:created>
  <dc:creator>zkk</dc:creator>
  <cp:lastModifiedBy>BDA</cp:lastModifiedBy>
  <cp:lastPrinted>2025-02-28T10:39:00Z</cp:lastPrinted>
  <dcterms:modified xsi:type="dcterms:W3CDTF">2025-03-12T15:34:26Z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